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517"/>
        <w:gridCol w:w="5503"/>
      </w:tblGrid>
      <w:tr w:rsidR="0053270B" w:rsidRPr="00DC060C" w:rsidTr="0042577A">
        <w:tc>
          <w:tcPr>
            <w:tcW w:w="3618" w:type="dxa"/>
            <w:shd w:val="clear" w:color="auto" w:fill="auto"/>
          </w:tcPr>
          <w:p w:rsidR="0053270B" w:rsidRPr="00DC060C" w:rsidRDefault="0053270B" w:rsidP="0042577A">
            <w:pPr>
              <w:pStyle w:val="Vnbnnidung0"/>
              <w:tabs>
                <w:tab w:val="left" w:pos="3454"/>
              </w:tabs>
              <w:spacing w:after="0" w:line="240" w:lineRule="auto"/>
              <w:ind w:firstLine="0"/>
              <w:jc w:val="center"/>
              <w:rPr>
                <w:rStyle w:val="Vnbnnidung"/>
                <w:b/>
                <w:bCs/>
                <w:color w:val="000000"/>
                <w:lang w:eastAsia="vi-VN"/>
              </w:rPr>
            </w:pPr>
            <w:r w:rsidRPr="00DC060C">
              <w:rPr>
                <w:rStyle w:val="Vnbnnidung"/>
                <w:b/>
                <w:bCs/>
                <w:color w:val="000000"/>
                <w:lang w:eastAsia="vi-VN"/>
              </w:rPr>
              <w:t>CHÍNH PHỦ</w:t>
            </w:r>
          </w:p>
          <w:p w:rsidR="0053270B" w:rsidRPr="00DC060C" w:rsidRDefault="0053270B" w:rsidP="0042577A">
            <w:pPr>
              <w:pStyle w:val="Vnbnnidung0"/>
              <w:tabs>
                <w:tab w:val="left" w:pos="3454"/>
              </w:tabs>
              <w:spacing w:after="0" w:line="240" w:lineRule="auto"/>
              <w:ind w:firstLine="0"/>
              <w:jc w:val="center"/>
              <w:rPr>
                <w:rStyle w:val="Vnbnnidung"/>
                <w:bCs/>
                <w:color w:val="000000"/>
                <w:lang w:val="en-US" w:eastAsia="vi-VN"/>
              </w:rPr>
            </w:pPr>
            <w:r w:rsidRPr="00DC060C">
              <w:rPr>
                <w:rStyle w:val="Vnbnnidung"/>
                <w:bCs/>
                <w:color w:val="000000"/>
                <w:lang w:val="en-US" w:eastAsia="vi-VN"/>
              </w:rPr>
              <w:t>_________</w:t>
            </w:r>
          </w:p>
          <w:p w:rsidR="00DC060C" w:rsidRDefault="00DC060C" w:rsidP="0042577A">
            <w:pPr>
              <w:pStyle w:val="Vnbnnidung0"/>
              <w:tabs>
                <w:tab w:val="left" w:pos="3454"/>
              </w:tabs>
              <w:spacing w:after="0" w:line="240" w:lineRule="auto"/>
              <w:ind w:firstLine="0"/>
              <w:jc w:val="center"/>
              <w:rPr>
                <w:rStyle w:val="Vnbnnidung"/>
                <w:color w:val="000000"/>
                <w:lang w:eastAsia="vi-VN"/>
              </w:rPr>
            </w:pPr>
          </w:p>
          <w:p w:rsidR="0053270B" w:rsidRPr="00DC060C" w:rsidRDefault="0053270B" w:rsidP="0042577A">
            <w:pPr>
              <w:pStyle w:val="Vnbnnidung0"/>
              <w:tabs>
                <w:tab w:val="left" w:pos="3454"/>
              </w:tabs>
              <w:spacing w:after="0" w:line="240" w:lineRule="auto"/>
              <w:ind w:firstLine="0"/>
              <w:jc w:val="center"/>
              <w:rPr>
                <w:rStyle w:val="Vnbnnidung"/>
                <w:b/>
                <w:bCs/>
                <w:color w:val="000000"/>
                <w:lang w:val="en-US" w:eastAsia="vi-VN"/>
              </w:rPr>
            </w:pPr>
            <w:r w:rsidRPr="00DC060C">
              <w:rPr>
                <w:rStyle w:val="Vnbnnidung"/>
                <w:color w:val="000000"/>
                <w:lang w:eastAsia="vi-VN"/>
              </w:rPr>
              <w:t>Số: 49/2022/NĐ-CP</w:t>
            </w:r>
          </w:p>
        </w:tc>
        <w:tc>
          <w:tcPr>
            <w:tcW w:w="5618" w:type="dxa"/>
            <w:shd w:val="clear" w:color="auto" w:fill="auto"/>
          </w:tcPr>
          <w:p w:rsidR="0053270B" w:rsidRPr="00DC060C" w:rsidRDefault="0053270B" w:rsidP="0042577A">
            <w:pPr>
              <w:pStyle w:val="Vnbnnidung0"/>
              <w:tabs>
                <w:tab w:val="left" w:pos="3454"/>
              </w:tabs>
              <w:spacing w:after="0" w:line="240" w:lineRule="auto"/>
              <w:ind w:firstLine="0"/>
              <w:jc w:val="center"/>
              <w:rPr>
                <w:color w:val="000000"/>
              </w:rPr>
            </w:pPr>
            <w:r w:rsidRPr="00DC060C">
              <w:rPr>
                <w:rStyle w:val="Vnbnnidung"/>
                <w:b/>
                <w:bCs/>
                <w:color w:val="000000"/>
                <w:lang w:eastAsia="vi-VN"/>
              </w:rPr>
              <w:t>CỘNG HÒA X</w:t>
            </w:r>
            <w:r w:rsidRPr="00DC060C">
              <w:rPr>
                <w:rStyle w:val="Vnbnnidung"/>
                <w:b/>
                <w:bCs/>
                <w:color w:val="000000"/>
                <w:lang w:val="en-US" w:eastAsia="vi-VN"/>
              </w:rPr>
              <w:t>Ã</w:t>
            </w:r>
            <w:r w:rsidRPr="00DC060C">
              <w:rPr>
                <w:rStyle w:val="Vnbnnidung"/>
                <w:b/>
                <w:bCs/>
                <w:color w:val="000000"/>
                <w:lang w:eastAsia="vi-VN"/>
              </w:rPr>
              <w:t xml:space="preserve"> HỘI CHỦ NGHĨA VIỆT NAM</w:t>
            </w:r>
          </w:p>
          <w:p w:rsidR="0053270B" w:rsidRPr="00DC060C" w:rsidRDefault="0053270B" w:rsidP="0042577A">
            <w:pPr>
              <w:pStyle w:val="Vnbnnidung0"/>
              <w:tabs>
                <w:tab w:val="left" w:leader="hyphen" w:pos="881"/>
                <w:tab w:val="left" w:pos="3454"/>
              </w:tabs>
              <w:spacing w:after="0" w:line="240" w:lineRule="auto"/>
              <w:ind w:firstLine="0"/>
              <w:jc w:val="center"/>
              <w:rPr>
                <w:rStyle w:val="Vnbnnidung"/>
                <w:b/>
                <w:bCs/>
                <w:color w:val="000000"/>
                <w:lang w:eastAsia="vi-VN"/>
              </w:rPr>
            </w:pPr>
            <w:r w:rsidRPr="00DC060C">
              <w:rPr>
                <w:rStyle w:val="Vnbnnidung"/>
                <w:b/>
                <w:bCs/>
                <w:color w:val="000000"/>
                <w:lang w:eastAsia="vi-VN"/>
              </w:rPr>
              <w:t>Độc lập - Tự do - Hạnh phúc</w:t>
            </w:r>
          </w:p>
          <w:p w:rsidR="0053270B" w:rsidRPr="00DC060C" w:rsidRDefault="0053270B" w:rsidP="0042577A">
            <w:pPr>
              <w:pStyle w:val="Vnbnnidung0"/>
              <w:tabs>
                <w:tab w:val="left" w:leader="hyphen" w:pos="881"/>
                <w:tab w:val="left" w:pos="3454"/>
              </w:tabs>
              <w:spacing w:after="0" w:line="240" w:lineRule="auto"/>
              <w:ind w:firstLine="0"/>
              <w:jc w:val="center"/>
              <w:rPr>
                <w:color w:val="000000"/>
                <w:lang w:val="en-US"/>
              </w:rPr>
            </w:pPr>
            <w:r w:rsidRPr="00DC060C">
              <w:rPr>
                <w:rStyle w:val="Vnbnnidung"/>
                <w:bCs/>
                <w:color w:val="000000"/>
                <w:lang w:val="en-US" w:eastAsia="vi-VN"/>
              </w:rPr>
              <w:t>_________________________</w:t>
            </w:r>
          </w:p>
          <w:p w:rsidR="0053270B" w:rsidRPr="00DC060C" w:rsidRDefault="0053270B" w:rsidP="0042577A">
            <w:pPr>
              <w:pStyle w:val="Vnbnnidung0"/>
              <w:tabs>
                <w:tab w:val="left" w:pos="4041"/>
              </w:tabs>
              <w:spacing w:after="0" w:line="240" w:lineRule="auto"/>
              <w:ind w:firstLine="0"/>
              <w:jc w:val="center"/>
              <w:rPr>
                <w:rStyle w:val="Vnbnnidung"/>
                <w:color w:val="000000"/>
              </w:rPr>
            </w:pPr>
            <w:r w:rsidRPr="00DC060C">
              <w:rPr>
                <w:rStyle w:val="Vnbnnidung"/>
                <w:i/>
                <w:iCs/>
                <w:color w:val="000000"/>
                <w:lang w:eastAsia="vi-VN"/>
              </w:rPr>
              <w:t xml:space="preserve">Hà </w:t>
            </w:r>
            <w:r w:rsidRPr="00DC060C">
              <w:rPr>
                <w:rStyle w:val="Vnbnnidung"/>
                <w:i/>
                <w:iCs/>
                <w:color w:val="000000"/>
                <w:lang w:val="en-US" w:eastAsia="vi-VN"/>
              </w:rPr>
              <w:t>N</w:t>
            </w:r>
            <w:r w:rsidRPr="00DC060C">
              <w:rPr>
                <w:rStyle w:val="Vnbnnidung"/>
                <w:i/>
                <w:iCs/>
                <w:color w:val="000000"/>
                <w:lang w:eastAsia="vi-VN"/>
              </w:rPr>
              <w:t>ội, ngày 29 tháng</w:t>
            </w:r>
            <w:r w:rsidRPr="00DC060C">
              <w:rPr>
                <w:rStyle w:val="Vnbnnidung"/>
                <w:color w:val="000000"/>
                <w:lang w:eastAsia="vi-VN"/>
              </w:rPr>
              <w:t xml:space="preserve"> 7 </w:t>
            </w:r>
            <w:r w:rsidRPr="00DC060C">
              <w:rPr>
                <w:rStyle w:val="Vnbnnidung"/>
                <w:i/>
                <w:iCs/>
                <w:color w:val="000000"/>
                <w:lang w:eastAsia="vi-VN"/>
              </w:rPr>
              <w:t>năm 2022</w:t>
            </w:r>
          </w:p>
        </w:tc>
      </w:tr>
    </w:tbl>
    <w:p w:rsidR="0053270B" w:rsidRPr="00DC060C" w:rsidRDefault="0053270B" w:rsidP="00363904">
      <w:pPr>
        <w:pStyle w:val="Vnbnnidung0"/>
        <w:tabs>
          <w:tab w:val="left" w:pos="3454"/>
        </w:tabs>
        <w:spacing w:after="0" w:line="240" w:lineRule="auto"/>
        <w:ind w:firstLine="0"/>
        <w:jc w:val="center"/>
        <w:rPr>
          <w:rStyle w:val="Vnbnnidung"/>
          <w:b/>
          <w:bCs/>
          <w:color w:val="000000"/>
          <w:lang w:eastAsia="vi-VN"/>
        </w:rPr>
      </w:pPr>
    </w:p>
    <w:p w:rsidR="0042577A" w:rsidRPr="00DC060C" w:rsidRDefault="0042577A" w:rsidP="00363904">
      <w:pPr>
        <w:pStyle w:val="Vnbnnidung0"/>
        <w:tabs>
          <w:tab w:val="left" w:pos="3454"/>
        </w:tabs>
        <w:spacing w:after="0" w:line="240" w:lineRule="auto"/>
        <w:ind w:firstLine="0"/>
        <w:jc w:val="center"/>
        <w:rPr>
          <w:color w:val="000000"/>
        </w:rPr>
      </w:pPr>
      <w:r w:rsidRPr="00DC060C">
        <w:rPr>
          <w:rStyle w:val="Vnbnnidung"/>
          <w:b/>
          <w:bCs/>
          <w:color w:val="000000"/>
          <w:lang w:eastAsia="vi-VN"/>
        </w:rPr>
        <w:tab/>
      </w:r>
    </w:p>
    <w:p w:rsidR="0042577A" w:rsidRPr="00DC060C" w:rsidRDefault="0042577A" w:rsidP="00363904">
      <w:pPr>
        <w:pStyle w:val="Vnbnnidung0"/>
        <w:spacing w:after="0" w:line="240" w:lineRule="auto"/>
        <w:ind w:firstLine="0"/>
        <w:jc w:val="center"/>
        <w:rPr>
          <w:color w:val="000000"/>
        </w:rPr>
      </w:pPr>
      <w:r w:rsidRPr="00DC060C">
        <w:rPr>
          <w:rStyle w:val="Vnbnnidung"/>
          <w:b/>
          <w:bCs/>
          <w:color w:val="000000"/>
          <w:lang w:eastAsia="vi-VN"/>
        </w:rPr>
        <w:t>NGHỊ ĐỊNH</w:t>
      </w:r>
    </w:p>
    <w:p w:rsidR="0042577A" w:rsidRPr="00DC060C" w:rsidRDefault="0042577A" w:rsidP="00363904">
      <w:pPr>
        <w:pStyle w:val="Vnbnnidung0"/>
        <w:spacing w:after="0" w:line="240" w:lineRule="auto"/>
        <w:ind w:firstLine="0"/>
        <w:jc w:val="center"/>
        <w:rPr>
          <w:rStyle w:val="Vnbnnidung"/>
          <w:b/>
          <w:bCs/>
          <w:color w:val="000000"/>
          <w:lang w:eastAsia="vi-VN"/>
        </w:rPr>
      </w:pPr>
      <w:r w:rsidRPr="00DC060C">
        <w:rPr>
          <w:rStyle w:val="Vnbnnidung"/>
          <w:b/>
          <w:bCs/>
          <w:color w:val="000000"/>
          <w:lang w:eastAsia="vi-VN"/>
        </w:rPr>
        <w:t>Sửa đổi, bổ sung một số điều của Nghị định số 209/2013/NĐ-CP</w:t>
      </w:r>
      <w:r w:rsidR="0053270B" w:rsidRPr="00DC060C">
        <w:rPr>
          <w:rStyle w:val="Vnbnnidung"/>
          <w:b/>
          <w:bCs/>
          <w:color w:val="000000"/>
          <w:lang w:val="en-US" w:eastAsia="vi-VN"/>
        </w:rPr>
        <w:t xml:space="preserve"> </w:t>
      </w:r>
      <w:r w:rsidRPr="00DC060C">
        <w:rPr>
          <w:rStyle w:val="Vnbnnidung"/>
          <w:b/>
          <w:bCs/>
          <w:color w:val="000000"/>
          <w:lang w:eastAsia="vi-VN"/>
        </w:rPr>
        <w:t>ngày 18 tháng 12 năm 2013 của Chính phủ quy định chi tiết và hướng dẫn</w:t>
      </w:r>
      <w:r w:rsidR="0053270B" w:rsidRPr="00DC060C">
        <w:rPr>
          <w:rStyle w:val="Vnbnnidung"/>
          <w:b/>
          <w:bCs/>
          <w:color w:val="000000"/>
          <w:lang w:val="en-US" w:eastAsia="vi-VN"/>
        </w:rPr>
        <w:t xml:space="preserve"> </w:t>
      </w:r>
      <w:r w:rsidRPr="00DC060C">
        <w:rPr>
          <w:rStyle w:val="Vnbnnidung"/>
          <w:b/>
          <w:bCs/>
          <w:color w:val="000000"/>
          <w:lang w:eastAsia="vi-VN"/>
        </w:rPr>
        <w:t>thi hành một số điều của Luật Thuế giá trị gia tăng đã được sửa đổi,</w:t>
      </w:r>
      <w:r w:rsidR="0053270B" w:rsidRPr="00DC060C">
        <w:rPr>
          <w:rStyle w:val="Vnbnnidung"/>
          <w:b/>
          <w:bCs/>
          <w:color w:val="000000"/>
          <w:lang w:val="en-US" w:eastAsia="vi-VN"/>
        </w:rPr>
        <w:t xml:space="preserve"> </w:t>
      </w:r>
      <w:r w:rsidRPr="00DC060C">
        <w:rPr>
          <w:rStyle w:val="Vnbnnidung"/>
          <w:b/>
          <w:bCs/>
          <w:color w:val="000000"/>
          <w:lang w:eastAsia="vi-VN"/>
        </w:rPr>
        <w:t>bổ sung một số điều theo Nghị định số 12/2015/NĐ-CP,</w:t>
      </w:r>
      <w:r w:rsidR="0053270B" w:rsidRPr="00DC060C">
        <w:rPr>
          <w:rStyle w:val="Vnbnnidung"/>
          <w:b/>
          <w:bCs/>
          <w:color w:val="000000"/>
          <w:lang w:val="en-US" w:eastAsia="vi-VN"/>
        </w:rPr>
        <w:t xml:space="preserve"> </w:t>
      </w:r>
      <w:r w:rsidRPr="00DC060C">
        <w:rPr>
          <w:rStyle w:val="Vnbnnidung"/>
          <w:b/>
          <w:bCs/>
          <w:color w:val="000000"/>
          <w:lang w:eastAsia="vi-VN"/>
        </w:rPr>
        <w:t xml:space="preserve">Nghị định </w:t>
      </w:r>
      <w:r w:rsidR="0053270B" w:rsidRPr="00DC060C">
        <w:rPr>
          <w:rStyle w:val="Vnbnnidung"/>
          <w:b/>
          <w:bCs/>
          <w:color w:val="000000"/>
          <w:lang w:val="en-US"/>
        </w:rPr>
        <w:t>số</w:t>
      </w:r>
      <w:r w:rsidRPr="00DC060C">
        <w:rPr>
          <w:rStyle w:val="Vnbnnidung"/>
          <w:b/>
          <w:bCs/>
          <w:color w:val="000000"/>
          <w:lang w:val="en-US"/>
        </w:rPr>
        <w:t xml:space="preserve"> </w:t>
      </w:r>
      <w:r w:rsidR="0053270B" w:rsidRPr="00DC060C">
        <w:rPr>
          <w:rStyle w:val="Vnbnnidung"/>
          <w:b/>
          <w:bCs/>
          <w:color w:val="000000"/>
          <w:lang w:eastAsia="vi-VN"/>
        </w:rPr>
        <w:t>100/2016/NĐ-CP và</w:t>
      </w:r>
      <w:r w:rsidRPr="00DC060C">
        <w:rPr>
          <w:rStyle w:val="Vnbnnidung"/>
          <w:b/>
          <w:bCs/>
          <w:color w:val="000000"/>
          <w:lang w:eastAsia="vi-VN"/>
        </w:rPr>
        <w:t xml:space="preserve"> Nghị định số 146/2017/NĐ-CP</w:t>
      </w:r>
    </w:p>
    <w:p w:rsidR="0053270B" w:rsidRPr="00DC060C" w:rsidRDefault="0053270B" w:rsidP="00363904">
      <w:pPr>
        <w:pStyle w:val="Vnbnnidung0"/>
        <w:spacing w:after="0" w:line="240" w:lineRule="auto"/>
        <w:ind w:firstLine="0"/>
        <w:jc w:val="center"/>
        <w:rPr>
          <w:rStyle w:val="Vnbnnidung"/>
          <w:bCs/>
          <w:color w:val="000000"/>
          <w:lang w:val="en-US" w:eastAsia="vi-VN"/>
        </w:rPr>
      </w:pPr>
      <w:r w:rsidRPr="00DC060C">
        <w:rPr>
          <w:rStyle w:val="Vnbnnidung"/>
          <w:bCs/>
          <w:color w:val="000000"/>
          <w:lang w:val="en-US" w:eastAsia="vi-VN"/>
        </w:rPr>
        <w:t>______________</w:t>
      </w:r>
    </w:p>
    <w:p w:rsidR="0053270B" w:rsidRPr="00DC060C" w:rsidRDefault="0053270B" w:rsidP="00363904">
      <w:pPr>
        <w:pStyle w:val="Vnbnnidung0"/>
        <w:spacing w:after="0" w:line="240" w:lineRule="auto"/>
        <w:ind w:firstLine="0"/>
        <w:jc w:val="center"/>
        <w:rPr>
          <w:color w:val="000000"/>
        </w:rPr>
      </w:pPr>
    </w:p>
    <w:p w:rsidR="0042577A" w:rsidRPr="00DC060C" w:rsidRDefault="0042577A" w:rsidP="00363904">
      <w:pPr>
        <w:pStyle w:val="Vnbnnidung0"/>
        <w:spacing w:after="120" w:line="240" w:lineRule="auto"/>
        <w:ind w:firstLine="720"/>
        <w:jc w:val="both"/>
        <w:rPr>
          <w:color w:val="000000"/>
        </w:rPr>
      </w:pPr>
      <w:r w:rsidRPr="00DC060C">
        <w:rPr>
          <w:rStyle w:val="Vnbnnidung"/>
          <w:i/>
          <w:iCs/>
          <w:color w:val="000000"/>
          <w:lang w:eastAsia="vi-VN"/>
        </w:rPr>
        <w:t xml:space="preserve">Căn cứ Luật Tổ chức Chính phủ ngày 19 tháng 6 năm 2015; Luật </w:t>
      </w:r>
      <w:r w:rsidR="0053270B" w:rsidRPr="00DC060C">
        <w:rPr>
          <w:rStyle w:val="Vnbnnidung"/>
          <w:i/>
          <w:iCs/>
          <w:color w:val="000000"/>
          <w:lang w:eastAsia="vi-VN"/>
        </w:rPr>
        <w:t>sửa đổi</w:t>
      </w:r>
      <w:r w:rsidRPr="00DC060C">
        <w:rPr>
          <w:rStyle w:val="Vnbnnidung"/>
          <w:i/>
          <w:iCs/>
          <w:color w:val="000000"/>
          <w:lang w:eastAsia="vi-VN"/>
        </w:rPr>
        <w:t xml:space="preserve">, </w:t>
      </w:r>
      <w:r w:rsidR="0053270B" w:rsidRPr="00DC060C">
        <w:rPr>
          <w:rStyle w:val="Vnbnnidung"/>
          <w:i/>
          <w:iCs/>
          <w:color w:val="000000"/>
          <w:lang w:eastAsia="vi-VN"/>
        </w:rPr>
        <w:t>bổ sung</w:t>
      </w:r>
      <w:r w:rsidRPr="00DC060C">
        <w:rPr>
          <w:rStyle w:val="Vnbnnidung"/>
          <w:i/>
          <w:iCs/>
          <w:color w:val="000000"/>
          <w:lang w:eastAsia="vi-VN"/>
        </w:rPr>
        <w:t xml:space="preserve"> một </w:t>
      </w:r>
      <w:r w:rsidR="0053270B" w:rsidRPr="00DC060C">
        <w:rPr>
          <w:rStyle w:val="Vnbnnidung"/>
          <w:i/>
          <w:iCs/>
          <w:color w:val="000000"/>
          <w:lang w:eastAsia="vi-VN"/>
        </w:rPr>
        <w:t>số điều</w:t>
      </w:r>
      <w:r w:rsidRPr="00DC060C">
        <w:rPr>
          <w:rStyle w:val="Vnbnnidung"/>
          <w:i/>
          <w:iCs/>
          <w:color w:val="000000"/>
          <w:lang w:eastAsia="vi-VN"/>
        </w:rPr>
        <w:t xml:space="preserve"> của Luật </w:t>
      </w:r>
      <w:r w:rsidR="0053270B" w:rsidRPr="00DC060C">
        <w:rPr>
          <w:rStyle w:val="Vnbnnidung"/>
          <w:i/>
          <w:iCs/>
          <w:color w:val="000000"/>
          <w:lang w:eastAsia="vi-VN"/>
        </w:rPr>
        <w:t>Tổ chức</w:t>
      </w:r>
      <w:r w:rsidRPr="00DC060C">
        <w:rPr>
          <w:rStyle w:val="Vnbnnidung"/>
          <w:i/>
          <w:iCs/>
          <w:color w:val="000000"/>
          <w:lang w:eastAsia="vi-VN"/>
        </w:rPr>
        <w:t xml:space="preserve"> </w:t>
      </w:r>
      <w:r w:rsidR="0053270B" w:rsidRPr="00DC060C">
        <w:rPr>
          <w:rStyle w:val="Vnbnnidung"/>
          <w:i/>
          <w:iCs/>
          <w:color w:val="000000"/>
          <w:lang w:eastAsia="vi-VN"/>
        </w:rPr>
        <w:t>Chính phủ</w:t>
      </w:r>
      <w:r w:rsidRPr="00DC060C">
        <w:rPr>
          <w:rStyle w:val="Vnbnnidung"/>
          <w:i/>
          <w:iCs/>
          <w:color w:val="000000"/>
          <w:lang w:eastAsia="vi-VN"/>
        </w:rPr>
        <w:t xml:space="preserve"> và Luật </w:t>
      </w:r>
      <w:r w:rsidR="0053270B" w:rsidRPr="00DC060C">
        <w:rPr>
          <w:rStyle w:val="Vnbnnidung"/>
          <w:i/>
          <w:iCs/>
          <w:color w:val="000000"/>
          <w:lang w:eastAsia="vi-VN"/>
        </w:rPr>
        <w:t>Tổ chức</w:t>
      </w:r>
      <w:r w:rsidRPr="00DC060C">
        <w:rPr>
          <w:rStyle w:val="Vnbnnidung"/>
          <w:i/>
          <w:iCs/>
          <w:color w:val="000000"/>
          <w:lang w:eastAsia="vi-VN"/>
        </w:rPr>
        <w:t xml:space="preserve"> chính quyền địa phương ngày 22 tháng 11 năm 2019;</w:t>
      </w:r>
    </w:p>
    <w:p w:rsidR="0042577A" w:rsidRPr="00DC060C" w:rsidRDefault="0042577A" w:rsidP="00363904">
      <w:pPr>
        <w:pStyle w:val="Vnbnnidung0"/>
        <w:spacing w:after="120" w:line="240" w:lineRule="auto"/>
        <w:ind w:firstLine="720"/>
        <w:jc w:val="both"/>
        <w:rPr>
          <w:color w:val="000000"/>
        </w:rPr>
      </w:pPr>
      <w:r w:rsidRPr="00DC060C">
        <w:rPr>
          <w:rStyle w:val="Vnbnnidung"/>
          <w:i/>
          <w:iCs/>
          <w:color w:val="000000"/>
          <w:lang w:eastAsia="vi-VN"/>
        </w:rPr>
        <w:t>Căn cứ Luật Thuế giá trị gia tăng ngày 03 th</w:t>
      </w:r>
      <w:r w:rsidR="0053270B" w:rsidRPr="00DC060C">
        <w:rPr>
          <w:rStyle w:val="Vnbnnidung"/>
          <w:i/>
          <w:iCs/>
          <w:color w:val="000000"/>
          <w:lang w:eastAsia="vi-VN"/>
        </w:rPr>
        <w:t xml:space="preserve">áng 6 năm 2008; Luật sửa đổi, </w:t>
      </w:r>
      <w:r w:rsidRPr="00DC060C">
        <w:rPr>
          <w:rStyle w:val="Vnbnnidung"/>
          <w:i/>
          <w:iCs/>
          <w:color w:val="000000"/>
          <w:lang w:eastAsia="vi-VN"/>
        </w:rPr>
        <w:t xml:space="preserve">bổ sung một </w:t>
      </w:r>
      <w:r w:rsidR="0053270B" w:rsidRPr="00DC060C">
        <w:rPr>
          <w:rStyle w:val="Vnbnnidung"/>
          <w:i/>
          <w:iCs/>
          <w:color w:val="000000"/>
          <w:lang w:eastAsia="vi-VN"/>
        </w:rPr>
        <w:t>số điều</w:t>
      </w:r>
      <w:r w:rsidRPr="00DC060C">
        <w:rPr>
          <w:rStyle w:val="Vnbnnidung"/>
          <w:i/>
          <w:iCs/>
          <w:color w:val="000000"/>
          <w:lang w:eastAsia="vi-VN"/>
        </w:rPr>
        <w:t xml:space="preserve"> của Luật Thuế giá trị gia tăng ngày 19 tháng 6 năm 2013;</w:t>
      </w:r>
    </w:p>
    <w:p w:rsidR="0042577A" w:rsidRPr="00DC060C" w:rsidRDefault="0042577A" w:rsidP="00363904">
      <w:pPr>
        <w:pStyle w:val="Vnbnnidung0"/>
        <w:spacing w:after="120" w:line="240" w:lineRule="auto"/>
        <w:ind w:firstLine="720"/>
        <w:jc w:val="both"/>
        <w:rPr>
          <w:color w:val="000000"/>
        </w:rPr>
      </w:pPr>
      <w:r w:rsidRPr="00DC060C">
        <w:rPr>
          <w:rStyle w:val="Vnbnnidung"/>
          <w:i/>
          <w:iCs/>
          <w:color w:val="000000"/>
          <w:lang w:eastAsia="vi-VN"/>
        </w:rPr>
        <w:t>Căn cứ Luật sửa đổi, bổ sung một số điều của các luật về thuế ngày 26 tháng 11 năm 2014;</w:t>
      </w:r>
    </w:p>
    <w:p w:rsidR="0042577A" w:rsidRPr="00DC060C" w:rsidRDefault="0042577A" w:rsidP="00363904">
      <w:pPr>
        <w:pStyle w:val="Vnbnnidung0"/>
        <w:spacing w:after="120" w:line="240" w:lineRule="auto"/>
        <w:ind w:firstLine="720"/>
        <w:jc w:val="both"/>
        <w:rPr>
          <w:color w:val="000000"/>
        </w:rPr>
      </w:pPr>
      <w:r w:rsidRPr="00DC060C">
        <w:rPr>
          <w:rStyle w:val="Vnbnnidung"/>
          <w:i/>
          <w:iCs/>
          <w:color w:val="000000"/>
          <w:lang w:eastAsia="vi-VN"/>
        </w:rPr>
        <w:t xml:space="preserve">Căn cứ Luật </w:t>
      </w:r>
      <w:r w:rsidR="0053270B" w:rsidRPr="00DC060C">
        <w:rPr>
          <w:rStyle w:val="Vnbnnidung"/>
          <w:i/>
          <w:iCs/>
          <w:color w:val="000000"/>
          <w:lang w:eastAsia="vi-VN"/>
        </w:rPr>
        <w:t>sửa đổi</w:t>
      </w:r>
      <w:r w:rsidRPr="00DC060C">
        <w:rPr>
          <w:rStyle w:val="Vnbnnidung"/>
          <w:i/>
          <w:iCs/>
          <w:color w:val="000000"/>
          <w:lang w:eastAsia="vi-VN"/>
        </w:rPr>
        <w:t xml:space="preserve">, </w:t>
      </w:r>
      <w:r w:rsidR="0053270B" w:rsidRPr="00DC060C">
        <w:rPr>
          <w:rStyle w:val="Vnbnnidung"/>
          <w:i/>
          <w:iCs/>
          <w:color w:val="000000"/>
          <w:lang w:eastAsia="vi-VN"/>
        </w:rPr>
        <w:t>bổ sung một số</w:t>
      </w:r>
      <w:r w:rsidRPr="00DC060C">
        <w:rPr>
          <w:rStyle w:val="Vnbnnidung"/>
          <w:i/>
          <w:iCs/>
          <w:color w:val="000000"/>
          <w:lang w:eastAsia="vi-VN"/>
        </w:rPr>
        <w:t xml:space="preserve"> </w:t>
      </w:r>
      <w:r w:rsidR="0053270B" w:rsidRPr="00DC060C">
        <w:rPr>
          <w:rStyle w:val="Vnbnnidung"/>
          <w:i/>
          <w:iCs/>
          <w:color w:val="000000"/>
          <w:lang w:eastAsia="vi-VN"/>
        </w:rPr>
        <w:t>điều</w:t>
      </w:r>
      <w:r w:rsidRPr="00DC060C">
        <w:rPr>
          <w:rStyle w:val="Vnbnnidung"/>
          <w:i/>
          <w:iCs/>
          <w:color w:val="000000"/>
          <w:lang w:eastAsia="vi-VN"/>
        </w:rPr>
        <w:t xml:space="preserve"> của Luật Thuế giá trị gia tăng, Luật Thuế tiêu thụ đặc biệt và Luật Quản lý thuế ngày 06 tháng 4 năm 2016;</w:t>
      </w:r>
    </w:p>
    <w:p w:rsidR="0042577A" w:rsidRPr="00DC060C" w:rsidRDefault="0053270B" w:rsidP="00363904">
      <w:pPr>
        <w:pStyle w:val="Vnbnnidung0"/>
        <w:spacing w:after="120" w:line="240" w:lineRule="auto"/>
        <w:ind w:firstLine="720"/>
        <w:jc w:val="both"/>
        <w:rPr>
          <w:color w:val="000000"/>
        </w:rPr>
      </w:pPr>
      <w:r w:rsidRPr="00DC060C">
        <w:rPr>
          <w:rStyle w:val="Vnbnnidung"/>
          <w:i/>
          <w:iCs/>
          <w:color w:val="000000"/>
          <w:lang w:eastAsia="vi-VN"/>
        </w:rPr>
        <w:t>Theo đề</w:t>
      </w:r>
      <w:r w:rsidR="0042577A" w:rsidRPr="00DC060C">
        <w:rPr>
          <w:rStyle w:val="Vnbnnidung"/>
          <w:i/>
          <w:iCs/>
          <w:color w:val="000000"/>
          <w:lang w:eastAsia="vi-VN"/>
        </w:rPr>
        <w:t xml:space="preserve"> nghị của Bộ trưởng Bộ Tài chính;</w:t>
      </w:r>
    </w:p>
    <w:p w:rsidR="0042577A" w:rsidRPr="00DC060C" w:rsidRDefault="0042577A" w:rsidP="00363904">
      <w:pPr>
        <w:pStyle w:val="Vnbnnidung0"/>
        <w:spacing w:after="120" w:line="240" w:lineRule="auto"/>
        <w:ind w:firstLine="720"/>
        <w:jc w:val="both"/>
        <w:rPr>
          <w:color w:val="000000"/>
        </w:rPr>
      </w:pPr>
      <w:r w:rsidRPr="00DC060C">
        <w:rPr>
          <w:rStyle w:val="Vnbnnidung"/>
          <w:i/>
          <w:iCs/>
          <w:color w:val="000000"/>
          <w:lang w:eastAsia="vi-VN"/>
        </w:rPr>
        <w:t xml:space="preserve">Chính phủ ban hành Nghị định sửa đổi, bổ sung một số điều của Nghị định </w:t>
      </w:r>
      <w:r w:rsidR="0053270B" w:rsidRPr="00DC060C">
        <w:rPr>
          <w:rStyle w:val="Vnbnnidung"/>
          <w:i/>
          <w:iCs/>
          <w:color w:val="000000"/>
          <w:lang w:val="en-US"/>
        </w:rPr>
        <w:t>số</w:t>
      </w:r>
      <w:r w:rsidRPr="00DC060C">
        <w:rPr>
          <w:rStyle w:val="Vnbnnidung"/>
          <w:i/>
          <w:iCs/>
          <w:color w:val="000000"/>
          <w:lang w:val="en-US"/>
        </w:rPr>
        <w:t xml:space="preserve"> </w:t>
      </w:r>
      <w:r w:rsidRPr="00DC060C">
        <w:rPr>
          <w:rStyle w:val="Vnbnnidung"/>
          <w:i/>
          <w:iCs/>
          <w:color w:val="000000"/>
          <w:lang w:eastAsia="vi-VN"/>
        </w:rPr>
        <w:t xml:space="preserve">209/2013/NĐ-CP ngày 18 tháng 12 năm 2013 của Chính phủ quy định </w:t>
      </w:r>
      <w:r w:rsidR="0053270B" w:rsidRPr="00DC060C">
        <w:rPr>
          <w:rStyle w:val="Vnbnnidung"/>
          <w:i/>
          <w:iCs/>
          <w:color w:val="000000"/>
          <w:lang w:val="en-US" w:eastAsia="vi-VN"/>
        </w:rPr>
        <w:t>chi</w:t>
      </w:r>
      <w:r w:rsidRPr="00DC060C">
        <w:rPr>
          <w:rStyle w:val="Vnbnnidung"/>
          <w:i/>
          <w:iCs/>
          <w:color w:val="000000"/>
          <w:lang w:eastAsia="vi-VN"/>
        </w:rPr>
        <w:t xml:space="preserve"> tiết và hướng dẫn </w:t>
      </w:r>
      <w:r w:rsidR="0053270B" w:rsidRPr="00DC060C">
        <w:rPr>
          <w:rStyle w:val="Vnbnnidung"/>
          <w:i/>
          <w:iCs/>
          <w:color w:val="000000"/>
          <w:lang w:val="en-US" w:eastAsia="vi-VN"/>
        </w:rPr>
        <w:t>thi</w:t>
      </w:r>
      <w:r w:rsidRPr="00DC060C">
        <w:rPr>
          <w:rStyle w:val="Vnbnnidung"/>
          <w:i/>
          <w:iCs/>
          <w:color w:val="000000"/>
          <w:lang w:eastAsia="vi-VN"/>
        </w:rPr>
        <w:t xml:space="preserve"> hành một số điều của Luật Thuế giá </w:t>
      </w:r>
      <w:r w:rsidR="0053270B" w:rsidRPr="00DC060C">
        <w:rPr>
          <w:rStyle w:val="Vnbnnidung"/>
          <w:i/>
          <w:iCs/>
          <w:color w:val="000000"/>
          <w:lang w:eastAsia="vi-VN"/>
        </w:rPr>
        <w:t>trị gia tăng đã được sửa đổi, bổ</w:t>
      </w:r>
      <w:r w:rsidRPr="00DC060C">
        <w:rPr>
          <w:rStyle w:val="Vnbnnidung"/>
          <w:i/>
          <w:iCs/>
          <w:color w:val="000000"/>
          <w:lang w:eastAsia="vi-VN"/>
        </w:rPr>
        <w:t xml:space="preserve"> sung một </w:t>
      </w:r>
      <w:r w:rsidR="0053270B" w:rsidRPr="00DC060C">
        <w:rPr>
          <w:rStyle w:val="Vnbnnidung"/>
          <w:i/>
          <w:iCs/>
          <w:color w:val="000000"/>
          <w:lang w:eastAsia="vi-VN"/>
        </w:rPr>
        <w:t>số điều</w:t>
      </w:r>
      <w:r w:rsidRPr="00DC060C">
        <w:rPr>
          <w:rStyle w:val="Vnbnnidung"/>
          <w:i/>
          <w:iCs/>
          <w:color w:val="000000"/>
          <w:lang w:eastAsia="vi-VN"/>
        </w:rPr>
        <w:t xml:space="preserve"> theo Nghị định </w:t>
      </w:r>
      <w:r w:rsidR="0053270B" w:rsidRPr="00DC060C">
        <w:rPr>
          <w:rStyle w:val="Vnbnnidung"/>
          <w:i/>
          <w:iCs/>
          <w:color w:val="000000"/>
          <w:lang w:val="en-US" w:eastAsia="vi-VN"/>
        </w:rPr>
        <w:t>số</w:t>
      </w:r>
      <w:r w:rsidRPr="00DC060C">
        <w:rPr>
          <w:rStyle w:val="Vnbnnidung"/>
          <w:i/>
          <w:iCs/>
          <w:color w:val="000000"/>
          <w:lang w:eastAsia="vi-VN"/>
        </w:rPr>
        <w:t xml:space="preserve"> 12/2015/NĐ-CP, Nghị định số 100/2016/NĐ-CP và </w:t>
      </w:r>
      <w:r w:rsidR="0053270B" w:rsidRPr="00DC060C">
        <w:rPr>
          <w:rStyle w:val="Vnbnnidung"/>
          <w:i/>
          <w:iCs/>
          <w:color w:val="000000"/>
          <w:lang w:eastAsia="vi-VN"/>
        </w:rPr>
        <w:t>Nghị định số</w:t>
      </w:r>
      <w:r w:rsidRPr="00DC060C">
        <w:rPr>
          <w:rStyle w:val="Vnbnnidung"/>
          <w:i/>
          <w:iCs/>
          <w:color w:val="000000"/>
          <w:lang w:eastAsia="vi-VN"/>
        </w:rPr>
        <w:t xml:space="preserve"> 146/2017/NĐ-CP.</w:t>
      </w:r>
    </w:p>
    <w:p w:rsidR="0042577A" w:rsidRPr="00DC060C" w:rsidRDefault="0042577A" w:rsidP="00363904">
      <w:pPr>
        <w:pStyle w:val="Vnbnnidung0"/>
        <w:spacing w:after="120" w:line="240" w:lineRule="auto"/>
        <w:ind w:firstLine="720"/>
        <w:jc w:val="both"/>
        <w:rPr>
          <w:color w:val="000000"/>
        </w:rPr>
      </w:pPr>
      <w:r w:rsidRPr="00DC060C">
        <w:rPr>
          <w:rStyle w:val="Vnbnnidung"/>
          <w:b/>
          <w:bCs/>
          <w:color w:val="000000"/>
          <w:lang w:eastAsia="vi-VN"/>
        </w:rPr>
        <w:t xml:space="preserve">Điều 1. Sửa đổi, bổ sung một số điều của Nghị định số 209/2013/NĐ-CP ngày 18 tháng 12 năm 2013 của Chính phủ quy định chi tiết và </w:t>
      </w:r>
      <w:r w:rsidR="0053270B" w:rsidRPr="00DC060C">
        <w:rPr>
          <w:rStyle w:val="Vnbnnidung"/>
          <w:b/>
          <w:bCs/>
          <w:color w:val="000000"/>
          <w:lang w:eastAsia="vi-VN"/>
        </w:rPr>
        <w:t>hướng</w:t>
      </w:r>
      <w:r w:rsidRPr="00DC060C">
        <w:rPr>
          <w:rStyle w:val="Vnbnnidung"/>
          <w:b/>
          <w:bCs/>
          <w:color w:val="000000"/>
          <w:lang w:eastAsia="vi-VN"/>
        </w:rPr>
        <w:t xml:space="preserve"> dẫn thi hành một số điều của Luật Thuế giá trị gia tăng đã được sửa đổi, bổ sung một số điều theo Nghị định số 12/2015/NĐ-CP, Nghị định số </w:t>
      </w:r>
      <w:r w:rsidRPr="00DC060C">
        <w:rPr>
          <w:rStyle w:val="Vnbnnidung"/>
          <w:b/>
          <w:bCs/>
          <w:color w:val="000000"/>
          <w:lang w:val="en-US"/>
        </w:rPr>
        <w:t>100/2016/</w:t>
      </w:r>
      <w:r w:rsidR="0053270B" w:rsidRPr="00DC060C">
        <w:rPr>
          <w:rStyle w:val="Vnbnnidung"/>
          <w:b/>
          <w:bCs/>
          <w:color w:val="000000"/>
          <w:lang w:val="en-US"/>
        </w:rPr>
        <w:t>NĐ-CP</w:t>
      </w:r>
      <w:r w:rsidRPr="00DC060C">
        <w:rPr>
          <w:rStyle w:val="Vnbnnidung"/>
          <w:b/>
          <w:bCs/>
          <w:color w:val="000000"/>
          <w:lang w:val="en-US"/>
        </w:rPr>
        <w:t xml:space="preserve"> </w:t>
      </w:r>
      <w:r w:rsidRPr="00DC060C">
        <w:rPr>
          <w:rStyle w:val="Vnbnnidung"/>
          <w:b/>
          <w:bCs/>
          <w:color w:val="000000"/>
          <w:lang w:eastAsia="vi-VN"/>
        </w:rPr>
        <w:t>và Nghị định số 146/2017/NĐ-CP</w:t>
      </w:r>
    </w:p>
    <w:p w:rsidR="0042577A" w:rsidRPr="00DC060C" w:rsidRDefault="0053270B" w:rsidP="00363904">
      <w:pPr>
        <w:pStyle w:val="Vnbnnidung0"/>
        <w:tabs>
          <w:tab w:val="left" w:pos="1021"/>
        </w:tabs>
        <w:spacing w:after="120" w:line="240" w:lineRule="auto"/>
        <w:ind w:firstLine="720"/>
        <w:jc w:val="both"/>
        <w:rPr>
          <w:color w:val="000000"/>
        </w:rPr>
      </w:pPr>
      <w:bookmarkStart w:id="0" w:name="bookmark0"/>
      <w:bookmarkEnd w:id="0"/>
      <w:r w:rsidRPr="00DC060C">
        <w:rPr>
          <w:rStyle w:val="Vnbnnidung"/>
          <w:color w:val="000000"/>
          <w:lang w:val="en-US" w:eastAsia="vi-VN"/>
        </w:rPr>
        <w:t xml:space="preserve">1. </w:t>
      </w:r>
      <w:r w:rsidR="0042577A" w:rsidRPr="00DC060C">
        <w:rPr>
          <w:rStyle w:val="Vnbnnidung"/>
          <w:color w:val="000000"/>
          <w:lang w:eastAsia="vi-VN"/>
        </w:rPr>
        <w:t>Sửa đổi, bổ sung khoản 3, 4 Điều 4 như sau:</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“3. Đối với hoạt động chuyển nhượng bất động sản, giá tính thuế giá trị gia tăng là giá chuyển nhượng bất động sản trừ (-) giá đất được trừ để tính thuế giá trị gia tăng.</w:t>
      </w:r>
    </w:p>
    <w:p w:rsidR="0042577A" w:rsidRPr="00DC060C" w:rsidRDefault="0053270B" w:rsidP="00363904">
      <w:pPr>
        <w:pStyle w:val="Vnbnnidung0"/>
        <w:tabs>
          <w:tab w:val="left" w:pos="964"/>
        </w:tabs>
        <w:spacing w:after="120" w:line="240" w:lineRule="auto"/>
        <w:ind w:firstLine="720"/>
        <w:jc w:val="both"/>
        <w:rPr>
          <w:color w:val="000000"/>
        </w:rPr>
      </w:pPr>
      <w:bookmarkStart w:id="1" w:name="bookmark1"/>
      <w:bookmarkEnd w:id="1"/>
      <w:r w:rsidRPr="00DC060C">
        <w:rPr>
          <w:rStyle w:val="Vnbnnidung"/>
          <w:color w:val="000000"/>
          <w:lang w:val="en-US" w:eastAsia="vi-VN"/>
        </w:rPr>
        <w:t xml:space="preserve">a) </w:t>
      </w:r>
      <w:r w:rsidR="0042577A" w:rsidRPr="00DC060C">
        <w:rPr>
          <w:rStyle w:val="Vnbnnidung"/>
          <w:color w:val="000000"/>
          <w:lang w:eastAsia="vi-VN"/>
        </w:rPr>
        <w:t xml:space="preserve">Giá đất được </w:t>
      </w:r>
      <w:r w:rsidRPr="00DC060C">
        <w:rPr>
          <w:rStyle w:val="Vnbnnidung"/>
          <w:color w:val="000000"/>
          <w:lang w:val="en-US" w:eastAsia="vi-VN"/>
        </w:rPr>
        <w:t>trừ</w:t>
      </w:r>
      <w:r w:rsidR="0042577A" w:rsidRPr="00DC060C">
        <w:rPr>
          <w:rStyle w:val="Vnbnnidung"/>
          <w:color w:val="000000"/>
          <w:lang w:eastAsia="vi-VN"/>
        </w:rPr>
        <w:t xml:space="preserve"> để tính thuế giá trị gia tăng được quy định cụ thể như sau:</w:t>
      </w:r>
    </w:p>
    <w:p w:rsidR="0042577A" w:rsidRPr="00DC060C" w:rsidRDefault="0053270B" w:rsidP="00363904">
      <w:pPr>
        <w:pStyle w:val="Vnbnnidung0"/>
        <w:spacing w:after="120" w:line="240" w:lineRule="auto"/>
        <w:ind w:firstLine="720"/>
        <w:jc w:val="both"/>
        <w:rPr>
          <w:color w:val="000000"/>
        </w:rPr>
      </w:pPr>
      <w:bookmarkStart w:id="2" w:name="bookmark2"/>
      <w:bookmarkEnd w:id="2"/>
      <w:r w:rsidRPr="00DC060C">
        <w:rPr>
          <w:rStyle w:val="Vnbnnidung"/>
          <w:color w:val="000000"/>
          <w:lang w:val="en-US" w:eastAsia="vi-VN"/>
        </w:rPr>
        <w:t>a.</w:t>
      </w:r>
      <w:r w:rsidRPr="00DC060C">
        <w:rPr>
          <w:rStyle w:val="Vnbnnidung"/>
          <w:color w:val="000000"/>
          <w:lang w:eastAsia="vi-VN"/>
        </w:rPr>
        <w:t>1</w:t>
      </w:r>
      <w:r w:rsidRPr="00DC060C">
        <w:rPr>
          <w:rStyle w:val="Vnbnnidung"/>
          <w:color w:val="000000"/>
          <w:lang w:val="en-US" w:eastAsia="vi-VN"/>
        </w:rPr>
        <w:t>)</w:t>
      </w:r>
      <w:r w:rsidR="0042577A" w:rsidRPr="00DC060C">
        <w:rPr>
          <w:rStyle w:val="Vnbnnidung"/>
          <w:color w:val="000000"/>
          <w:lang w:eastAsia="vi-VN"/>
        </w:rPr>
        <w:t xml:space="preserve"> 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a.2) Trường hợp đấu giá quyền sử dụng đất thì giá đất được trừ để tính thuế giá trị gia tăng là giá đất trúng đấu giá.</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a.3)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lastRenderedPageBreak/>
        <w:t>Tiền bồi thường, giải phón</w:t>
      </w:r>
      <w:r w:rsidR="001102D2" w:rsidRPr="00DC060C">
        <w:rPr>
          <w:rStyle w:val="Vnbnnidung"/>
          <w:color w:val="000000"/>
          <w:lang w:eastAsia="vi-VN"/>
        </w:rPr>
        <w:t>g mặt bằng quy định tại điểm a.1</w:t>
      </w:r>
      <w:r w:rsidRPr="00DC060C">
        <w:rPr>
          <w:rStyle w:val="Vnbnnidung"/>
          <w:color w:val="000000"/>
          <w:lang w:eastAsia="vi-VN"/>
        </w:rPr>
        <w:t xml:space="preserve"> 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 tiền sử dụng đất, thu tiền thuề đất, thuê mặt nước.</w:t>
      </w:r>
    </w:p>
    <w:p w:rsidR="0042577A" w:rsidRPr="00DC060C" w:rsidRDefault="001102D2" w:rsidP="00363904">
      <w:pPr>
        <w:pStyle w:val="Vnbnnidung0"/>
        <w:spacing w:after="120" w:line="240" w:lineRule="auto"/>
        <w:ind w:firstLine="720"/>
        <w:jc w:val="both"/>
        <w:rPr>
          <w:color w:val="000000"/>
        </w:rPr>
      </w:pPr>
      <w:r w:rsidRPr="00DC060C">
        <w:rPr>
          <w:rStyle w:val="Vnbnnidung"/>
          <w:color w:val="000000"/>
          <w:lang w:eastAsia="vi-VN"/>
        </w:rPr>
        <w:t>a.4) Trường hợ</w:t>
      </w:r>
      <w:r w:rsidR="0042577A" w:rsidRPr="00DC060C">
        <w:rPr>
          <w:rStyle w:val="Vnbnnidung"/>
          <w:color w:val="000000"/>
          <w:lang w:eastAsia="vi-VN"/>
        </w:rPr>
        <w:t>p cơ sở kinh doanh nhận chuyển nhượng quyền sử dụng đất của các tổ chức, cá nhân thì giá đất được trừ để tính thuế giá trị gia</w:t>
      </w:r>
      <w:r w:rsidRPr="00DC060C">
        <w:rPr>
          <w:rStyle w:val="Vnbnnidung"/>
          <w:color w:val="000000"/>
          <w:lang w:val="en-US" w:eastAsia="vi-VN"/>
        </w:rPr>
        <w:t xml:space="preserve"> </w:t>
      </w:r>
      <w:r w:rsidR="0042577A" w:rsidRPr="00DC060C">
        <w:rPr>
          <w:rStyle w:val="Vnbnnidung"/>
          <w:color w:val="000000"/>
          <w:lang w:eastAsia="vi-VN"/>
        </w:rPr>
        <w:t xml:space="preserve">tăng là giá đất tại thời điểm nhận chuyển nhượng quyền sử dụng đất không bao gồm giá trị cơ sở hạ tầng. 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w:t>
      </w:r>
      <w:r w:rsidRPr="00DC060C">
        <w:rPr>
          <w:rStyle w:val="Vnbnnidung"/>
          <w:color w:val="000000"/>
          <w:lang w:eastAsia="vi-VN"/>
        </w:rPr>
        <w:t>Ủy ban</w:t>
      </w:r>
      <w:r w:rsidR="0042577A" w:rsidRPr="00DC060C">
        <w:rPr>
          <w:rStyle w:val="Vnbnnidung"/>
          <w:color w:val="000000"/>
          <w:lang w:eastAsia="vi-VN"/>
        </w:rPr>
        <w:t xml:space="preserve"> nhân dân tỉnh, thành phố trực thuộc trung ương quy định tại thời điểm ký </w:t>
      </w:r>
      <w:r w:rsidRPr="00DC060C">
        <w:rPr>
          <w:rStyle w:val="Vnbnnidung"/>
          <w:color w:val="000000"/>
          <w:lang w:eastAsia="vi-VN"/>
        </w:rPr>
        <w:t>hợp đồng</w:t>
      </w:r>
      <w:r w:rsidR="0042577A" w:rsidRPr="00DC060C">
        <w:rPr>
          <w:rStyle w:val="Vnbnnidung"/>
          <w:color w:val="000000"/>
          <w:lang w:eastAsia="vi-VN"/>
        </w:rPr>
        <w:t xml:space="preserve"> nhận chuyển nhượng.</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Trường hợp cơ sở kinh doanh nhận chuyển nhượng bất động sản của các tổ chức, cá nhân đã xác định giá đất bao gồm cả giá trị cơ sở hạ tầng theo quy định tại điểm a khoản 3 Điều 4 Nghị định số 209/2013/NĐ-CP (đã được sửa đổi, bổ sung tại khoản 3 Điều 3 Nghị định số 12/2015/NĐ-CP ngày 12 tháng 02 năm 2015) thì giá đất được trừ để tính thuế giá trị gia tăng là giá đất tại thời điểm nhận chuyển nhượng không bao gồm cơ sở hạ tầng.</w:t>
      </w:r>
    </w:p>
    <w:p w:rsidR="0042577A" w:rsidRPr="00DC060C" w:rsidRDefault="001102D2" w:rsidP="00363904">
      <w:pPr>
        <w:pStyle w:val="Vnbnnidung0"/>
        <w:spacing w:after="120" w:line="240" w:lineRule="auto"/>
        <w:ind w:firstLine="720"/>
        <w:jc w:val="both"/>
        <w:rPr>
          <w:color w:val="000000"/>
        </w:rPr>
      </w:pPr>
      <w:r w:rsidRPr="00DC060C">
        <w:rPr>
          <w:rStyle w:val="Vnbnnidung"/>
          <w:color w:val="000000"/>
          <w:lang w:eastAsia="vi-VN"/>
        </w:rPr>
        <w:t>Trường hợp</w:t>
      </w:r>
      <w:r w:rsidR="0042577A" w:rsidRPr="00DC060C">
        <w:rPr>
          <w:rStyle w:val="Vnbnnidung"/>
          <w:color w:val="000000"/>
          <w:lang w:eastAsia="vi-VN"/>
        </w:rPr>
        <w:t xml:space="preserve"> không tách được giá trị cơ sở hạ tầng tại thời điểm nhận chuyển nhượng thì giá đất được trừ để tính thuế giá trị gia tăng là giá đất do </w:t>
      </w:r>
      <w:r w:rsidRPr="00DC060C">
        <w:rPr>
          <w:rStyle w:val="Vnbnnidung"/>
          <w:iCs/>
          <w:color w:val="000000"/>
          <w:lang w:eastAsia="vi-VN"/>
        </w:rPr>
        <w:t>Ủy ban</w:t>
      </w:r>
      <w:r w:rsidR="0042577A" w:rsidRPr="00DC060C">
        <w:rPr>
          <w:rStyle w:val="Vnbnnidung"/>
          <w:color w:val="000000"/>
          <w:lang w:eastAsia="vi-VN"/>
        </w:rPr>
        <w:t xml:space="preserve"> nhân dân tỉnh, thành phố trực thuộc trung ương quy định tại thời điểm ký hợp đồng nhận chuyển nhượng.</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 xml:space="preserve">a.5) Trường hợp cơ sở kinh doanh nhận góp vốn bằng quyền sử dụng đất của tổ chức, cá nhân thì giá đất được trừ để tính thuế giá trị gia tăng là giá ghi trong hợp đồng góp vốn. Trường hợp giá chuyển nhượng quyền sử dụng đất </w:t>
      </w:r>
      <w:r w:rsidR="001102D2" w:rsidRPr="00DC060C">
        <w:rPr>
          <w:rStyle w:val="Vnbnnidung"/>
          <w:color w:val="000000"/>
          <w:lang w:eastAsia="vi-VN"/>
        </w:rPr>
        <w:t>thấp</w:t>
      </w:r>
      <w:r w:rsidRPr="00DC060C">
        <w:rPr>
          <w:rStyle w:val="Vnbnnidung"/>
          <w:color w:val="000000"/>
          <w:lang w:eastAsia="vi-VN"/>
        </w:rPr>
        <w:t xml:space="preserve"> hơn giá </w:t>
      </w:r>
      <w:r w:rsidR="001102D2" w:rsidRPr="00DC060C">
        <w:rPr>
          <w:rStyle w:val="Vnbnnidung"/>
          <w:color w:val="000000"/>
          <w:lang w:eastAsia="vi-VN"/>
        </w:rPr>
        <w:t>đất</w:t>
      </w:r>
      <w:r w:rsidRPr="00DC060C">
        <w:rPr>
          <w:rStyle w:val="Vnbnnidung"/>
          <w:color w:val="000000"/>
          <w:lang w:eastAsia="vi-VN"/>
        </w:rPr>
        <w:t xml:space="preserve"> nhận góp </w:t>
      </w:r>
      <w:r w:rsidR="001102D2" w:rsidRPr="00DC060C">
        <w:rPr>
          <w:rStyle w:val="Vnbnnidung"/>
          <w:color w:val="000000"/>
          <w:lang w:eastAsia="vi-VN"/>
        </w:rPr>
        <w:t>vốn</w:t>
      </w:r>
      <w:r w:rsidRPr="00DC060C">
        <w:rPr>
          <w:rStyle w:val="Vnbnnidung"/>
          <w:color w:val="000000"/>
          <w:lang w:eastAsia="vi-VN"/>
        </w:rPr>
        <w:t xml:space="preserve"> thì chỉ được trừ giá </w:t>
      </w:r>
      <w:r w:rsidR="001102D2" w:rsidRPr="00DC060C">
        <w:rPr>
          <w:rStyle w:val="Vnbnnidung"/>
          <w:color w:val="000000"/>
          <w:lang w:eastAsia="vi-VN"/>
        </w:rPr>
        <w:t>đất</w:t>
      </w:r>
      <w:r w:rsidRPr="00DC060C">
        <w:rPr>
          <w:rStyle w:val="Vnbnnidung"/>
          <w:color w:val="000000"/>
          <w:lang w:eastAsia="vi-VN"/>
        </w:rPr>
        <w:t xml:space="preserve"> theo giá </w:t>
      </w:r>
      <w:r w:rsidR="001102D2" w:rsidRPr="00DC060C">
        <w:rPr>
          <w:rStyle w:val="Vnbnnidung"/>
          <w:color w:val="000000"/>
          <w:lang w:eastAsia="vi-VN"/>
        </w:rPr>
        <w:t>chuyển nhượng</w:t>
      </w:r>
      <w:r w:rsidRPr="00DC060C">
        <w:rPr>
          <w:rStyle w:val="Vnbnnidung"/>
          <w:color w:val="000000"/>
          <w:lang w:eastAsia="vi-VN"/>
        </w:rPr>
        <w:t>.</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 xml:space="preserve">a.6) 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w:t>
      </w:r>
      <w:r w:rsidR="001102D2" w:rsidRPr="00DC060C">
        <w:rPr>
          <w:rStyle w:val="Vnbnnidung"/>
          <w:color w:val="000000"/>
          <w:lang w:eastAsia="vi-VN"/>
        </w:rPr>
        <w:t>Ủy ban</w:t>
      </w:r>
      <w:r w:rsidRPr="00DC060C">
        <w:rPr>
          <w:rStyle w:val="Vnbnnidung"/>
          <w:color w:val="000000"/>
          <w:lang w:eastAsia="vi-VN"/>
        </w:rPr>
        <w:t xml:space="preserve"> nhân dân tỉnh, thành phố trực thuộc trung ương quyết định để thanh toán công trình.</w:t>
      </w:r>
    </w:p>
    <w:p w:rsidR="0042577A" w:rsidRPr="00DC060C" w:rsidRDefault="001102D2" w:rsidP="00363904">
      <w:pPr>
        <w:pStyle w:val="Vnbnnidung0"/>
        <w:tabs>
          <w:tab w:val="left" w:pos="938"/>
        </w:tabs>
        <w:spacing w:after="120" w:line="240" w:lineRule="auto"/>
        <w:ind w:firstLine="720"/>
        <w:jc w:val="both"/>
        <w:rPr>
          <w:color w:val="000000"/>
        </w:rPr>
      </w:pPr>
      <w:bookmarkStart w:id="3" w:name="bookmark3"/>
      <w:bookmarkEnd w:id="3"/>
      <w:r w:rsidRPr="00DC060C">
        <w:rPr>
          <w:rStyle w:val="Vnbnnidung"/>
          <w:color w:val="000000"/>
          <w:lang w:val="en-US" w:eastAsia="vi-VN"/>
        </w:rPr>
        <w:t xml:space="preserve">b) </w:t>
      </w:r>
      <w:r w:rsidR="0042577A" w:rsidRPr="00DC060C">
        <w:rPr>
          <w:rStyle w:val="Vnbnnidung"/>
          <w:color w:val="000000"/>
          <w:lang w:eastAsia="vi-VN"/>
        </w:rPr>
        <w:t>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tương ứng với tỷ lệ % số tiền thu được trên tổng giá trị hợp đồng.</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4. Giá tính thuế đối với hoạt động sản xuất điện của Tập đoàn điện lực Việt Nam như sau:</w:t>
      </w:r>
    </w:p>
    <w:p w:rsidR="0042577A" w:rsidRPr="00DC060C" w:rsidRDefault="001102D2" w:rsidP="00363904">
      <w:pPr>
        <w:pStyle w:val="Vnbnnidung0"/>
        <w:tabs>
          <w:tab w:val="left" w:pos="932"/>
        </w:tabs>
        <w:spacing w:after="120" w:line="240" w:lineRule="auto"/>
        <w:ind w:firstLine="720"/>
        <w:jc w:val="both"/>
        <w:rPr>
          <w:color w:val="000000"/>
        </w:rPr>
      </w:pPr>
      <w:bookmarkStart w:id="4" w:name="bookmark4"/>
      <w:bookmarkEnd w:id="4"/>
      <w:r w:rsidRPr="00DC060C">
        <w:rPr>
          <w:rStyle w:val="Vnbnnidung"/>
          <w:color w:val="000000"/>
          <w:lang w:val="en-US" w:eastAsia="vi-VN"/>
        </w:rPr>
        <w:t xml:space="preserve">a) </w:t>
      </w:r>
      <w:r w:rsidR="0042577A" w:rsidRPr="00DC060C">
        <w:rPr>
          <w:rStyle w:val="Vnbnnidung"/>
          <w:color w:val="000000"/>
          <w:lang w:eastAsia="vi-VN"/>
        </w:rPr>
        <w:t>Đối với điện của các công ty thủy điện hạch toán phụ thuộc Tập đoàn Điện lực Việt Nam, hạch toán phụ thuộc các Tổng công ty phát điện, giá tính thuế giá trị gia tăng để xác định số thuế giá trị gia tăng nộp tại địa phương nơi có nhà máy thủy điện được tính bằng 35% giá bán lẻ điện bình quân chưa bao gồm thuế giá trị gia tăng theo quy định của pháp luật điện lực và pháp luật giá.</w:t>
      </w:r>
    </w:p>
    <w:p w:rsidR="0042577A" w:rsidRPr="00DC060C" w:rsidRDefault="001102D2" w:rsidP="00363904">
      <w:pPr>
        <w:pStyle w:val="Vnbnnidung0"/>
        <w:tabs>
          <w:tab w:val="left" w:pos="938"/>
        </w:tabs>
        <w:spacing w:after="120" w:line="240" w:lineRule="auto"/>
        <w:ind w:firstLine="720"/>
        <w:jc w:val="both"/>
        <w:rPr>
          <w:color w:val="000000"/>
        </w:rPr>
      </w:pPr>
      <w:bookmarkStart w:id="5" w:name="bookmark5"/>
      <w:bookmarkEnd w:id="5"/>
      <w:r w:rsidRPr="00DC060C">
        <w:rPr>
          <w:rStyle w:val="Vnbnnidung"/>
          <w:color w:val="000000"/>
          <w:lang w:val="en-US" w:eastAsia="vi-VN"/>
        </w:rPr>
        <w:t xml:space="preserve">b) </w:t>
      </w:r>
      <w:r w:rsidR="0042577A" w:rsidRPr="00DC060C">
        <w:rPr>
          <w:rStyle w:val="Vnbnnidung"/>
          <w:color w:val="000000"/>
          <w:lang w:eastAsia="vi-VN"/>
        </w:rPr>
        <w:t>Đối với điện của các công ty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nhiệt điện là giá bán điện cho khách hàng ghi trên hóa đơn theo hợp đồng mua bán điện áp dụng cho từng nhà máy nhiệt điện.</w:t>
      </w:r>
    </w:p>
    <w:p w:rsidR="0042577A" w:rsidRPr="00DC060C" w:rsidRDefault="001102D2" w:rsidP="00363904">
      <w:pPr>
        <w:pStyle w:val="Vnbnnidung0"/>
        <w:spacing w:after="120" w:line="240" w:lineRule="auto"/>
        <w:ind w:firstLine="720"/>
        <w:jc w:val="both"/>
        <w:rPr>
          <w:color w:val="000000"/>
        </w:rPr>
      </w:pPr>
      <w:r w:rsidRPr="00DC060C">
        <w:rPr>
          <w:rStyle w:val="Vnbnnidung"/>
          <w:color w:val="000000"/>
          <w:lang w:eastAsia="vi-VN"/>
        </w:rPr>
        <w:t>Trường hợp</w:t>
      </w:r>
      <w:r w:rsidR="0042577A" w:rsidRPr="00DC060C">
        <w:rPr>
          <w:rStyle w:val="Vnbnnidung"/>
          <w:color w:val="000000"/>
          <w:lang w:eastAsia="vi-VN"/>
        </w:rPr>
        <w:t xml:space="preserve"> chưa có </w:t>
      </w:r>
      <w:r w:rsidRPr="00DC060C">
        <w:rPr>
          <w:rStyle w:val="Vnbnnidung"/>
          <w:color w:val="000000"/>
          <w:lang w:eastAsia="vi-VN"/>
        </w:rPr>
        <w:t>hợp đồng</w:t>
      </w:r>
      <w:r w:rsidR="0042577A" w:rsidRPr="00DC060C">
        <w:rPr>
          <w:rStyle w:val="Vnbnnidung"/>
          <w:color w:val="000000"/>
          <w:lang w:eastAsia="vi-VN"/>
        </w:rPr>
        <w:t xml:space="preserve"> mua bán điện áp dụng cho từng nhà máy nhiệt điện thì giá tính thuế giá trị gia tăng được xác định là giá bán lẻ điện bình quân chưa bao gồm thuế giá trị gia tăng theo quy định của pháp luật điện lực và pháp luật giá.</w:t>
      </w:r>
    </w:p>
    <w:p w:rsidR="0042577A" w:rsidRPr="00DC060C" w:rsidRDefault="001102D2" w:rsidP="00363904">
      <w:pPr>
        <w:pStyle w:val="Vnbnnidung0"/>
        <w:tabs>
          <w:tab w:val="left" w:pos="943"/>
        </w:tabs>
        <w:spacing w:after="120" w:line="240" w:lineRule="auto"/>
        <w:ind w:firstLine="720"/>
        <w:jc w:val="both"/>
        <w:rPr>
          <w:color w:val="000000"/>
        </w:rPr>
      </w:pPr>
      <w:bookmarkStart w:id="6" w:name="bookmark6"/>
      <w:bookmarkEnd w:id="6"/>
      <w:r w:rsidRPr="00DC060C">
        <w:rPr>
          <w:rStyle w:val="Vnbnnidung"/>
          <w:color w:val="000000"/>
          <w:lang w:val="en-US" w:eastAsia="vi-VN"/>
        </w:rPr>
        <w:t xml:space="preserve">c) </w:t>
      </w:r>
      <w:r w:rsidR="0042577A" w:rsidRPr="00DC060C">
        <w:rPr>
          <w:rStyle w:val="Vnbnnidung"/>
          <w:color w:val="000000"/>
          <w:lang w:eastAsia="vi-VN"/>
        </w:rPr>
        <w:t>Đối với điện của các công ty sản xuất điện (trừ thủy điện,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sản xuất điện là giá bán điện chưa có thuế giá trị gia tăng do cơ quan nhà nước có thẩm quyền quy định cho từng loại hình phát điện.</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Trường hợp chưa có giá bán điện do cơ quan nhà nước có thẩm quyền quy định cho từng loại hình phát điện nêu tại điểm này thì giá tính thuế giá trị gia tăng được xác định là giá bán lẻ điện bình quân chưa bao gồm thuế giá trị gia tăng theo quy định của pháp luật điện lực và pháp luật giá.”</w:t>
      </w:r>
    </w:p>
    <w:p w:rsidR="0042577A" w:rsidRPr="00DC060C" w:rsidRDefault="001102D2" w:rsidP="00363904">
      <w:pPr>
        <w:pStyle w:val="Vnbnnidung0"/>
        <w:tabs>
          <w:tab w:val="left" w:pos="903"/>
        </w:tabs>
        <w:spacing w:after="120" w:line="240" w:lineRule="auto"/>
        <w:ind w:firstLine="720"/>
        <w:jc w:val="both"/>
        <w:rPr>
          <w:color w:val="000000"/>
        </w:rPr>
      </w:pPr>
      <w:bookmarkStart w:id="7" w:name="bookmark7"/>
      <w:bookmarkEnd w:id="7"/>
      <w:r w:rsidRPr="00DC060C">
        <w:rPr>
          <w:rStyle w:val="Vnbnnidung"/>
          <w:color w:val="000000"/>
          <w:lang w:val="en-US" w:eastAsia="vi-VN"/>
        </w:rPr>
        <w:t xml:space="preserve">2. </w:t>
      </w:r>
      <w:r w:rsidR="0042577A" w:rsidRPr="00DC060C">
        <w:rPr>
          <w:rStyle w:val="Vnbnnidung"/>
          <w:color w:val="000000"/>
          <w:lang w:eastAsia="vi-VN"/>
        </w:rPr>
        <w:t>Sửa đổi, bổ sung khoản 3 Điều 8 như sau:</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“3. Hoạt động kinh doanh, hộ kinh doanh không thực hiện hoặc thực hiện không đầy đủ chế độ kế toán, hóa đơn, chứng từ theo quy định của pháp luật thì nộp thuế giá trị gia tăng theo phương pháp khoán thuế quy định tại Điều 51 Luật Quản lý thuế.”</w:t>
      </w:r>
    </w:p>
    <w:p w:rsidR="0042577A" w:rsidRPr="00DC060C" w:rsidRDefault="001102D2" w:rsidP="00363904">
      <w:pPr>
        <w:pStyle w:val="Vnbnnidung0"/>
        <w:tabs>
          <w:tab w:val="left" w:pos="903"/>
        </w:tabs>
        <w:spacing w:after="120" w:line="240" w:lineRule="auto"/>
        <w:ind w:firstLine="720"/>
        <w:jc w:val="both"/>
        <w:rPr>
          <w:color w:val="000000"/>
        </w:rPr>
      </w:pPr>
      <w:bookmarkStart w:id="8" w:name="bookmark8"/>
      <w:bookmarkEnd w:id="8"/>
      <w:r w:rsidRPr="00DC060C">
        <w:rPr>
          <w:rStyle w:val="Vnbnnidung"/>
          <w:color w:val="000000"/>
          <w:lang w:val="en-US" w:eastAsia="vi-VN"/>
        </w:rPr>
        <w:t xml:space="preserve">3. </w:t>
      </w:r>
      <w:r w:rsidR="0042577A" w:rsidRPr="00DC060C">
        <w:rPr>
          <w:rStyle w:val="Vnbnnidung"/>
          <w:color w:val="000000"/>
          <w:lang w:eastAsia="vi-VN"/>
        </w:rPr>
        <w:t>Sửa đổi, bổ sung khoản 2 Điều 10 như sau:</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“2. Cơ sở kinh doanh được hoàn thuế đối với dự án đầu tư như sau:</w:t>
      </w:r>
    </w:p>
    <w:p w:rsidR="0042577A" w:rsidRPr="00DC060C" w:rsidRDefault="001102D2" w:rsidP="00363904">
      <w:pPr>
        <w:pStyle w:val="Vnbnnidung0"/>
        <w:tabs>
          <w:tab w:val="left" w:pos="1361"/>
        </w:tabs>
        <w:spacing w:after="120" w:line="240" w:lineRule="auto"/>
        <w:ind w:firstLine="720"/>
        <w:jc w:val="both"/>
        <w:rPr>
          <w:color w:val="000000"/>
        </w:rPr>
      </w:pPr>
      <w:bookmarkStart w:id="9" w:name="bookmark9"/>
      <w:bookmarkEnd w:id="9"/>
      <w:r w:rsidRPr="00DC060C">
        <w:rPr>
          <w:rStyle w:val="Vnbnnidung"/>
          <w:color w:val="000000"/>
          <w:lang w:val="en-US" w:eastAsia="vi-VN"/>
        </w:rPr>
        <w:t xml:space="preserve">a) </w:t>
      </w:r>
      <w:r w:rsidR="0042577A" w:rsidRPr="00DC060C">
        <w:rPr>
          <w:rStyle w:val="Vnbnnidung"/>
          <w:color w:val="000000"/>
          <w:lang w:eastAsia="vi-VN"/>
        </w:rPr>
        <w:t xml:space="preserve">Cơ sở kinh doanh đã đăng ký kinh doanh, đăng ký nộp thuế giá trị gia tăng theo phương pháp khấu trừ (bao gồm cả cơ sở kinh doanh mói thành lập từ dự án đầu tư) có dự án đầu tư mới (bao gồm cả dự án đầu tư được chia thành nhiều giai đoạn đầu tư hoặc nhiều hạng mục đầu tư) theo quy định của Luật Đầu tư tại địa bàn cùng tính, thành phố hoặc khác tỉnh, thành phố nơi đóng trụ sở chính (trừ </w:t>
      </w:r>
      <w:r w:rsidRPr="00DC060C">
        <w:rPr>
          <w:rStyle w:val="Vnbnnidung"/>
          <w:color w:val="000000"/>
          <w:lang w:eastAsia="vi-VN"/>
        </w:rPr>
        <w:t>trường hợp</w:t>
      </w:r>
      <w:r w:rsidR="0042577A" w:rsidRPr="00DC060C">
        <w:rPr>
          <w:rStyle w:val="Vnbnnidung"/>
          <w:color w:val="000000"/>
          <w:lang w:eastAsia="vi-VN"/>
        </w:rPr>
        <w:t xml:space="preserve"> quy định tại điểm c khoản này và dự án đầu tư xây dựng nhà để bán, dự án đầu tư không hình thành tài sản cố định) đang trong giai đoạn đầu tư hoặc dự án tìm kiếm thăm dò và phát triển mỏ dầu khí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Cơ sở kinh doanh thực hiện kê khai thuế giá trị gia tăng riêng đối với dự án đầu tư và phải bù trừ số thuế giá trị gia tăng đầu vào của dự án đầu tư với số thuế giá trị gia tăng phải nộp của hoạt động sản xuất kinh doanh đang thực hiện (nếu có). Sau khi bù trừ nếu số thuế giá trị gia tăng đầu vào lũy kế của dự án đầu tư chưa được khấu trừ hết từ 300 triệu đồng trở lên được hoàn thuế giá trị gia tăng.</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 xml:space="preserve">Trường hợp dự án đầu tư </w:t>
      </w:r>
      <w:r w:rsidR="001102D2" w:rsidRPr="00DC060C">
        <w:rPr>
          <w:rStyle w:val="Vnbnnidung"/>
          <w:color w:val="000000"/>
          <w:lang w:eastAsia="vi-VN"/>
        </w:rPr>
        <w:t>của</w:t>
      </w:r>
      <w:r w:rsidRPr="00DC060C">
        <w:rPr>
          <w:rStyle w:val="Vnbnnidung"/>
          <w:color w:val="000000"/>
          <w:lang w:eastAsia="vi-VN"/>
        </w:rPr>
        <w:t xml:space="preserve"> cơ sở kinh doanh đã được cơ quan nhà nước có thẩm quyền thanh tra, kiểm tra, kiểm toán thì cơ quan thuế có thể sử dụng kết quả thanh tra, kiểm tra, kiểm toán để quyết định việc hoàn thuế giá trị gia tăng.</w:t>
      </w:r>
    </w:p>
    <w:p w:rsidR="0042577A" w:rsidRPr="00DC060C" w:rsidRDefault="001102D2" w:rsidP="00363904">
      <w:pPr>
        <w:pStyle w:val="Vnbnnidung0"/>
        <w:tabs>
          <w:tab w:val="left" w:pos="1372"/>
        </w:tabs>
        <w:spacing w:after="120" w:line="240" w:lineRule="auto"/>
        <w:ind w:firstLine="720"/>
        <w:jc w:val="both"/>
        <w:rPr>
          <w:color w:val="000000"/>
        </w:rPr>
      </w:pPr>
      <w:bookmarkStart w:id="10" w:name="bookmark10"/>
      <w:bookmarkEnd w:id="10"/>
      <w:r w:rsidRPr="00DC060C">
        <w:rPr>
          <w:rStyle w:val="Vnbnnidung"/>
          <w:color w:val="000000"/>
          <w:lang w:val="en-US" w:eastAsia="vi-VN"/>
        </w:rPr>
        <w:t xml:space="preserve">b) </w:t>
      </w:r>
      <w:r w:rsidR="0042577A" w:rsidRPr="00DC060C">
        <w:rPr>
          <w:rStyle w:val="Vnbnnidung"/>
          <w:color w:val="000000"/>
          <w:lang w:eastAsia="vi-VN"/>
        </w:rPr>
        <w:t xml:space="preserve">Đối với dự án đầu tư của cơ sở kinh doanh ngành, nghề đầu tư kinh doanh có điều kiện thuộc các </w:t>
      </w:r>
      <w:r w:rsidRPr="00DC060C">
        <w:rPr>
          <w:rStyle w:val="Vnbnnidung"/>
          <w:color w:val="000000"/>
          <w:lang w:eastAsia="vi-VN"/>
        </w:rPr>
        <w:t>trường hợp</w:t>
      </w:r>
      <w:r w:rsidR="0042577A" w:rsidRPr="00DC060C">
        <w:rPr>
          <w:rStyle w:val="Vnbnnidung"/>
          <w:color w:val="000000"/>
          <w:lang w:eastAsia="vi-VN"/>
        </w:rPr>
        <w:t xml:space="preserve"> sau thì cơ sở kinh doanh được hoàn thuế giá trị gia tăng đối với dự án đầu tư theo quy định tại điểm a khoản này:</w:t>
      </w:r>
    </w:p>
    <w:p w:rsidR="0042577A" w:rsidRPr="00DC060C" w:rsidRDefault="001102D2" w:rsidP="00363904">
      <w:pPr>
        <w:pStyle w:val="Vnbnnidung0"/>
        <w:spacing w:after="120" w:line="240" w:lineRule="auto"/>
        <w:ind w:firstLine="720"/>
        <w:jc w:val="both"/>
        <w:rPr>
          <w:color w:val="000000"/>
        </w:rPr>
      </w:pPr>
      <w:bookmarkStart w:id="11" w:name="bookmark11"/>
      <w:bookmarkEnd w:id="11"/>
      <w:r w:rsidRPr="00DC060C">
        <w:rPr>
          <w:rStyle w:val="Vnbnnidung"/>
          <w:color w:val="000000"/>
          <w:lang w:val="en-US" w:eastAsia="vi-VN"/>
        </w:rPr>
        <w:t>b</w:t>
      </w:r>
      <w:r w:rsidRPr="00DC060C">
        <w:rPr>
          <w:rStyle w:val="Vnbnnidung"/>
          <w:color w:val="000000"/>
          <w:lang w:eastAsia="vi-VN"/>
        </w:rPr>
        <w:t>.1</w:t>
      </w:r>
      <w:r w:rsidRPr="00DC060C">
        <w:rPr>
          <w:rStyle w:val="Vnbnnidung"/>
          <w:color w:val="000000"/>
          <w:lang w:val="en-US" w:eastAsia="vi-VN"/>
        </w:rPr>
        <w:t>)</w:t>
      </w:r>
      <w:r w:rsidR="0042577A" w:rsidRPr="00DC060C">
        <w:rPr>
          <w:rStyle w:val="Vnbnnidung"/>
          <w:color w:val="000000"/>
          <w:lang w:eastAsia="vi-VN"/>
        </w:rPr>
        <w:t xml:space="preserve"> Dự án đầu tư trong giai đoạn đầu tư, theo quy định của pháp luật đầu tư, pháp luật chuyên ngành đã được cơ quan nhà nước có thẩm quyền cấp giấy kinh doanh ngành, nghề đầu tư kinh doanh có điều kiện theo một trong các hình thức: Giấy phép hoặc giấy chứng nhận hoặc văn bản xác nhận, chấp thuận.</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b.2) Dự án đầu tư trong giai đoạn đầu tư, theo quy định của pháp luật đầu tư, pháp luật chuyên ngành chưa phải đề nghị cơ quan nhà nước có thẩm quyền cấp giấy kinh doanh ngành, nghề đầu tư kinh doanh có điều kiện theo một trong các hình thức: Giấy phép hoặc giấy chứng nhận hoặc văn bản xác nhận, chấp thuận.</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b.3) Dự án đầu tư theo quy đ</w:t>
      </w:r>
      <w:r w:rsidR="001102D2" w:rsidRPr="00DC060C">
        <w:rPr>
          <w:rStyle w:val="Vnbnnidung"/>
          <w:color w:val="000000"/>
          <w:lang w:eastAsia="vi-VN"/>
        </w:rPr>
        <w:t>ịnh của pháp luật đầu tư, pháp l</w:t>
      </w:r>
      <w:r w:rsidRPr="00DC060C">
        <w:rPr>
          <w:rStyle w:val="Vnbnnidung"/>
          <w:color w:val="000000"/>
          <w:lang w:eastAsia="vi-VN"/>
        </w:rPr>
        <w:t>uật chuyên ngành không phải có giấy kinh doanh ngành, nghề đầu tư kinh doanh có điều kiện theo một trong các hình thức: Giấy phép hoặc giấy chứng nhận hoặc văn bản xác nhận, chấp thuận.</w:t>
      </w:r>
    </w:p>
    <w:p w:rsidR="0042577A" w:rsidRPr="00DC060C" w:rsidRDefault="001102D2" w:rsidP="00363904">
      <w:pPr>
        <w:pStyle w:val="Vnbnnidung0"/>
        <w:tabs>
          <w:tab w:val="left" w:pos="1415"/>
        </w:tabs>
        <w:spacing w:after="120" w:line="240" w:lineRule="auto"/>
        <w:ind w:firstLine="720"/>
        <w:jc w:val="both"/>
        <w:rPr>
          <w:color w:val="000000"/>
        </w:rPr>
      </w:pPr>
      <w:bookmarkStart w:id="12" w:name="bookmark12"/>
      <w:bookmarkEnd w:id="12"/>
      <w:r w:rsidRPr="00DC060C">
        <w:rPr>
          <w:rStyle w:val="Vnbnnidung"/>
          <w:color w:val="000000"/>
          <w:lang w:val="en-US" w:eastAsia="vi-VN"/>
        </w:rPr>
        <w:t xml:space="preserve">c) </w:t>
      </w:r>
      <w:r w:rsidR="0042577A" w:rsidRPr="00DC060C">
        <w:rPr>
          <w:rStyle w:val="Vnbnnidung"/>
          <w:color w:val="000000"/>
          <w:lang w:eastAsia="vi-VN"/>
        </w:rPr>
        <w:t xml:space="preserve">Cơ sở kinh doanh không được hoàn thuế giá trị gia tăng mà được kết chuyển số thuế chưa được khấu trừ của dự án đầu tư theo pháp luật về đầu tư sang kỳ tiếp theo đối với các </w:t>
      </w:r>
      <w:r w:rsidRPr="00DC060C">
        <w:rPr>
          <w:rStyle w:val="Vnbnnidung"/>
          <w:color w:val="000000"/>
          <w:lang w:eastAsia="vi-VN"/>
        </w:rPr>
        <w:t>trường hợp</w:t>
      </w:r>
      <w:r w:rsidR="0042577A" w:rsidRPr="00DC060C">
        <w:rPr>
          <w:rStyle w:val="Vnbnnidung"/>
          <w:color w:val="000000"/>
          <w:lang w:eastAsia="vi-VN"/>
        </w:rPr>
        <w:t>:</w:t>
      </w:r>
    </w:p>
    <w:p w:rsidR="0042577A" w:rsidRPr="00DC060C" w:rsidRDefault="001102D2" w:rsidP="00363904">
      <w:pPr>
        <w:pStyle w:val="Vnbnnidung0"/>
        <w:spacing w:after="120" w:line="240" w:lineRule="auto"/>
        <w:ind w:firstLine="720"/>
        <w:jc w:val="both"/>
        <w:rPr>
          <w:color w:val="000000"/>
        </w:rPr>
      </w:pPr>
      <w:bookmarkStart w:id="13" w:name="bookmark13"/>
      <w:bookmarkEnd w:id="13"/>
      <w:r w:rsidRPr="00DC060C">
        <w:rPr>
          <w:rStyle w:val="Vnbnnidung"/>
          <w:color w:val="000000"/>
          <w:lang w:val="en-US" w:eastAsia="vi-VN"/>
        </w:rPr>
        <w:t>c.</w:t>
      </w:r>
      <w:r w:rsidRPr="00DC060C">
        <w:rPr>
          <w:rStyle w:val="Vnbnnidung"/>
          <w:color w:val="000000"/>
          <w:lang w:eastAsia="vi-VN"/>
        </w:rPr>
        <w:t>1</w:t>
      </w:r>
      <w:r w:rsidR="0042577A" w:rsidRPr="00DC060C">
        <w:rPr>
          <w:rStyle w:val="Vnbnnidung"/>
          <w:color w:val="000000"/>
          <w:lang w:eastAsia="vi-VN"/>
        </w:rPr>
        <w:t>) Dự án đầu tư của cơ sở kinh doanh ngành, nghề đầu tư kinh doanh có điều kiện khi chưa đủ các điều kiện kinh doanh theo quy định của Luật Đầu tư quy định tại điểm a khoản 1 Điều 13 Luật Thuế giá trị gia tăng đã được sửa đổi, bổ sung tại Luật sửa đổi, bổ sung một số điều của Luật Thuế giá trị gia tăng, Luật Thuế tiêu thụ đặc biệt và Luật Quản lý thuế là dự án đầu tư của cơ sở kinh doanh ngành, nghề đầu tư kinh doanh có điều kiện nhưng chưa được cơ quan nhà nước có thẩm quyền cấp giấy kinh doanh ngành, nghề đầu tư kinh doanh có điều kiện theo một trong các hình thức: Giấy phép hoặc giấy chứng nhận hoặc văn bản xác nhận, chấp thuận hoặc chưa đáp ứng được điều kiện để thực hiện đầu tư kinh doanh có điều kiện mà không cần phải có xác nhận, chấp thuận dưới hình thức văn bản theo quy định của pháp luật về đầu tư (trừ các trường hợp quy định tại điểm b khoản này).</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 xml:space="preserve">Dự án đầu tư của cơ sở kinh doanh ngành, nghề đầu tư kinh doanh có điều kiện không bảo đảm duy trì đủ điều kiện kinh doanh trong quá trình hoạt động quy định tại điểm a khoản 1 Điều 13 Luật Thuế giá trị gia tăng đã được </w:t>
      </w:r>
      <w:r w:rsidR="0053270B" w:rsidRPr="00DC060C">
        <w:rPr>
          <w:rStyle w:val="Vnbnnidung"/>
          <w:color w:val="000000"/>
          <w:lang w:eastAsia="vi-VN"/>
        </w:rPr>
        <w:t>sửa đổi</w:t>
      </w:r>
      <w:r w:rsidRPr="00DC060C">
        <w:rPr>
          <w:rStyle w:val="Vnbnnidung"/>
          <w:color w:val="000000"/>
          <w:lang w:eastAsia="vi-VN"/>
        </w:rPr>
        <w:t xml:space="preserve">, </w:t>
      </w:r>
      <w:r w:rsidR="0053270B" w:rsidRPr="00DC060C">
        <w:rPr>
          <w:rStyle w:val="Vnbnnidung"/>
          <w:color w:val="000000"/>
          <w:lang w:eastAsia="vi-VN"/>
        </w:rPr>
        <w:t>bổ sung</w:t>
      </w:r>
      <w:r w:rsidRPr="00DC060C">
        <w:rPr>
          <w:rStyle w:val="Vnbnnidung"/>
          <w:color w:val="000000"/>
          <w:lang w:eastAsia="vi-VN"/>
        </w:rPr>
        <w:t xml:space="preserve"> tại Luật </w:t>
      </w:r>
      <w:r w:rsidR="0053270B" w:rsidRPr="00DC060C">
        <w:rPr>
          <w:rStyle w:val="Vnbnnidung"/>
          <w:color w:val="000000"/>
          <w:lang w:eastAsia="vi-VN"/>
        </w:rPr>
        <w:t>sửa đổi</w:t>
      </w:r>
      <w:r w:rsidRPr="00DC060C">
        <w:rPr>
          <w:rStyle w:val="Vnbnnidung"/>
          <w:color w:val="000000"/>
          <w:lang w:eastAsia="vi-VN"/>
        </w:rPr>
        <w:t xml:space="preserve">, </w:t>
      </w:r>
      <w:r w:rsidR="0053270B" w:rsidRPr="00DC060C">
        <w:rPr>
          <w:rStyle w:val="Vnbnnidung"/>
          <w:color w:val="000000"/>
          <w:lang w:eastAsia="vi-VN"/>
        </w:rPr>
        <w:t>bổ sung</w:t>
      </w:r>
      <w:r w:rsidR="001102D2" w:rsidRPr="00DC060C">
        <w:rPr>
          <w:rStyle w:val="Vnbnnidung"/>
          <w:color w:val="000000"/>
          <w:lang w:eastAsia="vi-VN"/>
        </w:rPr>
        <w:t xml:space="preserve"> một số</w:t>
      </w:r>
      <w:r w:rsidRPr="00DC060C">
        <w:rPr>
          <w:rStyle w:val="Vnbnnidung"/>
          <w:color w:val="000000"/>
          <w:lang w:eastAsia="vi-VN"/>
        </w:rPr>
        <w:t xml:space="preserve"> </w:t>
      </w:r>
      <w:r w:rsidR="0053270B" w:rsidRPr="00DC060C">
        <w:rPr>
          <w:rStyle w:val="Vnbnnidung"/>
          <w:color w:val="000000"/>
          <w:lang w:eastAsia="vi-VN"/>
        </w:rPr>
        <w:t>điều</w:t>
      </w:r>
      <w:r w:rsidRPr="00DC060C">
        <w:rPr>
          <w:rStyle w:val="Vnbnnidung"/>
          <w:color w:val="000000"/>
          <w:lang w:eastAsia="vi-VN"/>
        </w:rPr>
        <w:t xml:space="preserve"> của Luật </w:t>
      </w:r>
      <w:r w:rsidR="001102D2" w:rsidRPr="00DC060C">
        <w:rPr>
          <w:rStyle w:val="Vnbnnidung"/>
          <w:color w:val="000000"/>
          <w:lang w:eastAsia="vi-VN"/>
        </w:rPr>
        <w:t>Thuế giá</w:t>
      </w:r>
      <w:r w:rsidRPr="00DC060C">
        <w:rPr>
          <w:rStyle w:val="Vnbnnidung"/>
          <w:color w:val="000000"/>
          <w:lang w:eastAsia="vi-VN"/>
        </w:rPr>
        <w:t xml:space="preserve"> trị gia tăng, Luật Thuế tiêu thụ đặc biệt và Luật Quản lý thuế là dự án đầu tư của cơ sở kinh doanh ngành, nghề đầu tư kinh doanh có điều kiện nhưng trong quá trình hoạt động cơ sở kinh doanh bị thu hồi </w:t>
      </w:r>
      <w:r w:rsidR="001102D2" w:rsidRPr="00DC060C">
        <w:rPr>
          <w:rStyle w:val="Vnbnnidung"/>
          <w:color w:val="000000"/>
          <w:lang w:eastAsia="vi-VN"/>
        </w:rPr>
        <w:t xml:space="preserve">một trong các giấy kinh doanh </w:t>
      </w:r>
      <w:r w:rsidRPr="00DC060C">
        <w:rPr>
          <w:rStyle w:val="Vnbnnidung"/>
          <w:color w:val="000000"/>
          <w:lang w:eastAsia="vi-VN"/>
        </w:rPr>
        <w:t xml:space="preserve">ngành, nghề đầu tư kinh doanh có điều kiện: Giấy phép hoặc giấy </w:t>
      </w:r>
      <w:r w:rsidR="001102D2" w:rsidRPr="00DC060C">
        <w:rPr>
          <w:rStyle w:val="Vnbnnidung"/>
          <w:color w:val="000000"/>
          <w:lang w:val="en-US" w:eastAsia="vi-VN"/>
        </w:rPr>
        <w:t>chứng nhận hoặc</w:t>
      </w:r>
      <w:r w:rsidRPr="00DC060C">
        <w:rPr>
          <w:rStyle w:val="Vnbnnidung"/>
          <w:color w:val="000000"/>
          <w:lang w:eastAsia="vi-VN"/>
        </w:rPr>
        <w:t xml:space="preserve"> văn bản xác nhận, </w:t>
      </w:r>
      <w:r w:rsidR="001102D2" w:rsidRPr="00DC060C">
        <w:rPr>
          <w:rStyle w:val="Vnbnnidung"/>
          <w:color w:val="000000"/>
          <w:lang w:eastAsia="vi-VN"/>
        </w:rPr>
        <w:t>chấp</w:t>
      </w:r>
      <w:r w:rsidRPr="00DC060C">
        <w:rPr>
          <w:rStyle w:val="Vnbnnidung"/>
          <w:color w:val="000000"/>
          <w:lang w:eastAsia="vi-VN"/>
        </w:rPr>
        <w:t xml:space="preserve"> thuận; hoặc trong quá trình hoạt động </w:t>
      </w:r>
      <w:r w:rsidR="001102D2" w:rsidRPr="00DC060C">
        <w:rPr>
          <w:rStyle w:val="Vnbnnidung"/>
          <w:color w:val="000000"/>
          <w:lang w:val="en-US" w:eastAsia="vi-VN"/>
        </w:rPr>
        <w:t>cơ sở kinh</w:t>
      </w:r>
      <w:r w:rsidRPr="00DC060C">
        <w:rPr>
          <w:rStyle w:val="Vnbnnidung"/>
          <w:color w:val="000000"/>
          <w:lang w:eastAsia="vi-VN"/>
        </w:rPr>
        <w:t xml:space="preserve"> doanh không đáp ứng được điều kiện đ</w:t>
      </w:r>
      <w:r w:rsidR="001102D2" w:rsidRPr="00DC060C">
        <w:rPr>
          <w:rStyle w:val="Vnbnnidung"/>
          <w:color w:val="000000"/>
          <w:lang w:eastAsia="vi-VN"/>
        </w:rPr>
        <w:t xml:space="preserve">ể thực hiện đầu tư kinh doanh có điều </w:t>
      </w:r>
      <w:r w:rsidRPr="00DC060C">
        <w:rPr>
          <w:rStyle w:val="Vnbnnidung"/>
          <w:color w:val="000000"/>
          <w:lang w:eastAsia="vi-VN"/>
        </w:rPr>
        <w:t>kiện theo quy định của pháp luật về đầu tư thì thời điểm</w:t>
      </w:r>
      <w:bookmarkStart w:id="14" w:name="bookmark14"/>
      <w:bookmarkEnd w:id="14"/>
      <w:r w:rsidR="001102D2" w:rsidRPr="00DC060C">
        <w:rPr>
          <w:rStyle w:val="Vnbnnidung"/>
          <w:color w:val="000000"/>
          <w:lang w:val="en-US" w:eastAsia="vi-VN"/>
        </w:rPr>
        <w:t xml:space="preserve"> không hoàn thuế </w:t>
      </w:r>
      <w:r w:rsidR="001102D2" w:rsidRPr="00DC060C">
        <w:rPr>
          <w:rStyle w:val="Vnbnnidung"/>
          <w:color w:val="000000"/>
          <w:lang w:val="en-US"/>
        </w:rPr>
        <w:t>giá trị</w:t>
      </w:r>
      <w:r w:rsidRPr="00DC060C">
        <w:rPr>
          <w:rStyle w:val="Vnbnnidung"/>
          <w:color w:val="000000"/>
          <w:lang w:val="en-US"/>
        </w:rPr>
        <w:t xml:space="preserve"> </w:t>
      </w:r>
      <w:r w:rsidRPr="00DC060C">
        <w:rPr>
          <w:rStyle w:val="Vnbnnidung"/>
          <w:color w:val="000000"/>
          <w:lang w:eastAsia="vi-VN"/>
        </w:rPr>
        <w:t>gia tăng được tính từ thời điểm cơ sở kinh doanh bị</w:t>
      </w:r>
      <w:r w:rsidR="001102D2" w:rsidRPr="00DC060C">
        <w:rPr>
          <w:rStyle w:val="Vnbnnidung"/>
          <w:color w:val="000000"/>
          <w:lang w:val="en-US" w:eastAsia="vi-VN"/>
        </w:rPr>
        <w:t xml:space="preserve"> </w:t>
      </w:r>
      <w:r w:rsidRPr="00DC060C">
        <w:rPr>
          <w:rStyle w:val="Vnbnnidung"/>
          <w:color w:val="000000"/>
          <w:lang w:eastAsia="vi-VN"/>
        </w:rPr>
        <w:t xml:space="preserve">thù hồi </w:t>
      </w:r>
      <w:r w:rsidR="001102D2" w:rsidRPr="00DC060C">
        <w:rPr>
          <w:rStyle w:val="Vnbnnidung"/>
          <w:color w:val="000000"/>
          <w:lang w:val="en-US" w:eastAsia="vi-VN"/>
        </w:rPr>
        <w:t>một trong các loại</w:t>
      </w:r>
      <w:r w:rsidRPr="00DC060C">
        <w:rPr>
          <w:rStyle w:val="Vnbnnidung"/>
          <w:color w:val="000000"/>
          <w:lang w:eastAsia="vi-VN"/>
        </w:rPr>
        <w:t xml:space="preserve"> giấy tờ nêu trên hoặc </w:t>
      </w:r>
      <w:r w:rsidR="001102D2" w:rsidRPr="00DC060C">
        <w:rPr>
          <w:rStyle w:val="Vnbnnidung"/>
          <w:color w:val="000000"/>
          <w:lang w:eastAsia="vi-VN"/>
        </w:rPr>
        <w:t xml:space="preserve">từ thời điểm cơ quan nhà nước có thẩm quyền kiểm </w:t>
      </w:r>
      <w:r w:rsidRPr="00DC060C">
        <w:rPr>
          <w:rStyle w:val="Vnbnnidung"/>
          <w:color w:val="000000"/>
          <w:lang w:eastAsia="vi-VN"/>
        </w:rPr>
        <w:t>tra, phát hiện cơ sở kinh doanh không đáp ứng được các</w:t>
      </w:r>
      <w:bookmarkStart w:id="15" w:name="bookmark15"/>
      <w:bookmarkEnd w:id="15"/>
      <w:r w:rsidR="001102D2" w:rsidRPr="00DC060C">
        <w:rPr>
          <w:rStyle w:val="Vnbnnidung"/>
          <w:color w:val="000000"/>
          <w:lang w:val="en-US" w:eastAsia="vi-VN"/>
        </w:rPr>
        <w:t xml:space="preserve"> </w:t>
      </w:r>
      <w:r w:rsidRPr="00DC060C">
        <w:rPr>
          <w:rStyle w:val="Vnbnnidung"/>
          <w:color w:val="000000"/>
          <w:lang w:eastAsia="vi-VN"/>
        </w:rPr>
        <w:t xml:space="preserve">điều </w:t>
      </w:r>
      <w:r w:rsidR="001102D2" w:rsidRPr="00DC060C">
        <w:rPr>
          <w:rStyle w:val="Vnbnnidung"/>
          <w:color w:val="000000"/>
          <w:lang w:val="en-US" w:eastAsia="vi-VN"/>
        </w:rPr>
        <w:t>kiện về</w:t>
      </w:r>
      <w:r w:rsidRPr="00DC060C">
        <w:rPr>
          <w:rStyle w:val="Vnbnnidung"/>
          <w:color w:val="000000"/>
          <w:lang w:eastAsia="vi-VN"/>
        </w:rPr>
        <w:t xml:space="preserve"> </w:t>
      </w:r>
      <w:r w:rsidR="001102D2" w:rsidRPr="00DC060C">
        <w:rPr>
          <w:rStyle w:val="Vnbnnidung"/>
          <w:color w:val="000000"/>
          <w:lang w:val="en-US" w:eastAsia="vi-VN"/>
        </w:rPr>
        <w:t xml:space="preserve">đầu tư </w:t>
      </w:r>
      <w:r w:rsidRPr="00DC060C">
        <w:rPr>
          <w:rStyle w:val="Vnbnnidung"/>
          <w:color w:val="000000"/>
          <w:lang w:eastAsia="vi-VN"/>
        </w:rPr>
        <w:t>kinh doanh có điều kiện.</w:t>
      </w:r>
    </w:p>
    <w:p w:rsidR="0042577A" w:rsidRPr="00DC060C" w:rsidRDefault="001102D2" w:rsidP="00363904">
      <w:pPr>
        <w:pStyle w:val="Vnbnnidung0"/>
        <w:spacing w:after="120" w:line="240" w:lineRule="auto"/>
        <w:ind w:firstLine="720"/>
        <w:jc w:val="both"/>
        <w:rPr>
          <w:color w:val="000000"/>
        </w:rPr>
      </w:pPr>
      <w:r w:rsidRPr="00DC060C">
        <w:rPr>
          <w:rStyle w:val="Vnbnnidung"/>
          <w:color w:val="000000"/>
          <w:lang w:eastAsia="vi-VN"/>
        </w:rPr>
        <w:t xml:space="preserve">c.2) Dự án </w:t>
      </w:r>
      <w:r w:rsidR="0042577A" w:rsidRPr="00DC060C">
        <w:rPr>
          <w:rStyle w:val="Vnbnnidung"/>
          <w:color w:val="000000"/>
          <w:lang w:eastAsia="vi-VN"/>
        </w:rPr>
        <w:t>đầu tư</w:t>
      </w:r>
      <w:r w:rsidRPr="00DC060C">
        <w:rPr>
          <w:rStyle w:val="Vnbnnidung"/>
          <w:color w:val="000000"/>
          <w:lang w:eastAsia="vi-VN"/>
        </w:rPr>
        <w:t xml:space="preserve"> khai thác tài nguyên, khoáng sả</w:t>
      </w:r>
      <w:r w:rsidR="0042577A" w:rsidRPr="00DC060C">
        <w:rPr>
          <w:rStyle w:val="Vnbnnidung"/>
          <w:color w:val="000000"/>
          <w:lang w:eastAsia="vi-VN"/>
        </w:rPr>
        <w:t xml:space="preserve">n được cấp phép từ ngày 01 tháng 7 năm 2016 hoặc dự án đầu tư sản xuất sản phẩm hàng hóa mà tổng trị giá tài nguyên, khoáng sản cộng với chi phí năng lượng chiếm từ 51% giá thành sản </w:t>
      </w:r>
      <w:r w:rsidRPr="00DC060C">
        <w:rPr>
          <w:rStyle w:val="Vnbnnidung"/>
          <w:color w:val="000000"/>
          <w:lang w:eastAsia="vi-VN"/>
        </w:rPr>
        <w:t>phẩm</w:t>
      </w:r>
      <w:r w:rsidR="0042577A" w:rsidRPr="00DC060C">
        <w:rPr>
          <w:rStyle w:val="Vnbnnidung"/>
          <w:color w:val="000000"/>
          <w:lang w:eastAsia="vi-VN"/>
        </w:rPr>
        <w:t xml:space="preserve"> trở lên theo dự án </w:t>
      </w:r>
      <w:r w:rsidRPr="00DC060C">
        <w:rPr>
          <w:rStyle w:val="Vnbnnidung"/>
          <w:color w:val="000000"/>
          <w:lang w:eastAsia="vi-VN"/>
        </w:rPr>
        <w:t>đầu tư, trừ dự án tìm kiế</w:t>
      </w:r>
      <w:r w:rsidR="0042577A" w:rsidRPr="00DC060C">
        <w:rPr>
          <w:rStyle w:val="Vnbnnidung"/>
          <w:color w:val="000000"/>
          <w:lang w:eastAsia="vi-VN"/>
        </w:rPr>
        <w:t>m thăm dò và phát triển mỏ dầu khí quy định tại điểm a khoản này.</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Việc xác định tài nguyên, khoáng sản; trị giá tài nguyên, khoáng sản và thời điểm xác định trị giá tài nguyên, khoáng sản và chi phí năng lượng thực hiện theo quy định tại khoản 11 Điều 3 Nghị định này.”</w:t>
      </w:r>
    </w:p>
    <w:p w:rsidR="0042577A" w:rsidRPr="00DC060C" w:rsidRDefault="0042577A" w:rsidP="00363904">
      <w:pPr>
        <w:pStyle w:val="Vnbnnidung0"/>
        <w:spacing w:after="120" w:line="240" w:lineRule="auto"/>
        <w:ind w:firstLine="720"/>
        <w:jc w:val="both"/>
        <w:rPr>
          <w:color w:val="000000"/>
        </w:rPr>
      </w:pPr>
      <w:r w:rsidRPr="00DC060C">
        <w:rPr>
          <w:rStyle w:val="Vnbnnidung"/>
          <w:b/>
          <w:bCs/>
          <w:color w:val="000000"/>
          <w:lang w:eastAsia="vi-VN"/>
        </w:rPr>
        <w:t>Điều 2. Hiệu lực và trách nhiệm thi hành</w:t>
      </w:r>
    </w:p>
    <w:p w:rsidR="0053270B" w:rsidRPr="00DC060C" w:rsidRDefault="001102D2" w:rsidP="00363904">
      <w:pPr>
        <w:pStyle w:val="Vnbnnidung0"/>
        <w:tabs>
          <w:tab w:val="left" w:pos="1355"/>
        </w:tabs>
        <w:spacing w:after="120" w:line="240" w:lineRule="auto"/>
        <w:ind w:firstLine="720"/>
        <w:jc w:val="both"/>
        <w:rPr>
          <w:rStyle w:val="Vnbnnidung"/>
          <w:color w:val="000000"/>
        </w:rPr>
      </w:pPr>
      <w:bookmarkStart w:id="16" w:name="bookmark16"/>
      <w:bookmarkEnd w:id="16"/>
      <w:r w:rsidRPr="00DC060C">
        <w:rPr>
          <w:rStyle w:val="Vnbnnidung"/>
          <w:color w:val="000000"/>
          <w:lang w:val="en-US" w:eastAsia="vi-VN"/>
        </w:rPr>
        <w:t xml:space="preserve">1. </w:t>
      </w:r>
      <w:r w:rsidR="0042577A" w:rsidRPr="00DC060C">
        <w:rPr>
          <w:rStyle w:val="Vnbnnidung"/>
          <w:color w:val="000000"/>
          <w:lang w:eastAsia="vi-VN"/>
        </w:rPr>
        <w:t>Nghị định này có hiệu lực từ ngày 12 tháng 9 năm 2022.</w:t>
      </w:r>
    </w:p>
    <w:p w:rsidR="0042577A" w:rsidRPr="00DC060C" w:rsidRDefault="001102D2" w:rsidP="00363904">
      <w:pPr>
        <w:pStyle w:val="Vnbnnidung0"/>
        <w:tabs>
          <w:tab w:val="left" w:pos="1479"/>
        </w:tabs>
        <w:spacing w:after="120" w:line="240" w:lineRule="auto"/>
        <w:ind w:firstLine="720"/>
        <w:jc w:val="both"/>
        <w:rPr>
          <w:color w:val="000000"/>
        </w:rPr>
      </w:pPr>
      <w:bookmarkStart w:id="17" w:name="bookmark17"/>
      <w:bookmarkEnd w:id="17"/>
      <w:r w:rsidRPr="00DC060C">
        <w:rPr>
          <w:rStyle w:val="Vnbnnidung"/>
          <w:color w:val="000000"/>
          <w:lang w:val="en-US" w:eastAsia="vi-VN"/>
        </w:rPr>
        <w:t xml:space="preserve">2. </w:t>
      </w:r>
      <w:r w:rsidR="0042577A" w:rsidRPr="00DC060C">
        <w:rPr>
          <w:rStyle w:val="Vnbnnidung"/>
          <w:color w:val="000000"/>
          <w:lang w:eastAsia="vi-VN"/>
        </w:rPr>
        <w:t>Quy định về hoàn thuế giá trị gia tăng đối vói dự án đầu tư của cơ sở kinh doanh ngành, nghề đầu tư kinh doanh có điều kiện tại khoản 3 Điều 1 Nghị định này được áp dụng kể từ ngày Nghị định số 100/2016/NĐ-CP ngày 01 tháng 7 năm 2016 của Chính phủ có hiệu lực thi hành.</w:t>
      </w:r>
    </w:p>
    <w:p w:rsidR="0042577A" w:rsidRPr="00DC060C" w:rsidRDefault="0042577A" w:rsidP="00363904">
      <w:pPr>
        <w:pStyle w:val="Vnbnnidung0"/>
        <w:spacing w:after="120" w:line="240" w:lineRule="auto"/>
        <w:ind w:firstLine="720"/>
        <w:jc w:val="both"/>
        <w:rPr>
          <w:color w:val="000000"/>
        </w:rPr>
      </w:pPr>
      <w:r w:rsidRPr="00DC060C">
        <w:rPr>
          <w:rStyle w:val="Vnbnnidung"/>
          <w:color w:val="000000"/>
          <w:lang w:eastAsia="vi-VN"/>
        </w:rPr>
        <w:t xml:space="preserve">Trường hợp cơ sở kinh doanh đã bị thu </w:t>
      </w:r>
      <w:r w:rsidR="001102D2" w:rsidRPr="00DC060C">
        <w:rPr>
          <w:rStyle w:val="Vnbnnidung"/>
          <w:color w:val="000000"/>
          <w:lang w:val="en-US"/>
        </w:rPr>
        <w:t>hồi số</w:t>
      </w:r>
      <w:r w:rsidRPr="00DC060C">
        <w:rPr>
          <w:rStyle w:val="Vnbnnidung"/>
          <w:color w:val="000000"/>
          <w:lang w:val="en-US"/>
        </w:rPr>
        <w:t xml:space="preserve"> </w:t>
      </w:r>
      <w:r w:rsidRPr="00DC060C">
        <w:rPr>
          <w:rStyle w:val="Vnbnnidung"/>
          <w:color w:val="000000"/>
          <w:lang w:eastAsia="vi-VN"/>
        </w:rPr>
        <w:t xml:space="preserve">thuế giá trị gia tăng của dự án đầu tư theo quy định tại điểm c khoản 2 Điều 10 Nghị định số 209/2013/NĐ-CP (đã được </w:t>
      </w:r>
      <w:r w:rsidR="0053270B" w:rsidRPr="00DC060C">
        <w:rPr>
          <w:rStyle w:val="Vnbnnidung"/>
          <w:color w:val="000000"/>
          <w:lang w:eastAsia="vi-VN"/>
        </w:rPr>
        <w:t>sửa đổi</w:t>
      </w:r>
      <w:r w:rsidRPr="00DC060C">
        <w:rPr>
          <w:rStyle w:val="Vnbnnidung"/>
          <w:color w:val="000000"/>
          <w:lang w:eastAsia="vi-VN"/>
        </w:rPr>
        <w:t xml:space="preserve">, </w:t>
      </w:r>
      <w:r w:rsidR="0053270B" w:rsidRPr="00DC060C">
        <w:rPr>
          <w:rStyle w:val="Vnbnnidung"/>
          <w:color w:val="000000"/>
          <w:lang w:eastAsia="vi-VN"/>
        </w:rPr>
        <w:t>bổ sung</w:t>
      </w:r>
      <w:r w:rsidRPr="00DC060C">
        <w:rPr>
          <w:rStyle w:val="Vnbnnidung"/>
          <w:color w:val="000000"/>
          <w:lang w:eastAsia="vi-VN"/>
        </w:rPr>
        <w:t xml:space="preserve"> theo khoản 6 </w:t>
      </w:r>
      <w:r w:rsidR="0053270B" w:rsidRPr="00DC060C">
        <w:rPr>
          <w:rStyle w:val="Vnbnnidung"/>
          <w:color w:val="000000"/>
          <w:lang w:eastAsia="vi-VN"/>
        </w:rPr>
        <w:t>Điều</w:t>
      </w:r>
      <w:r w:rsidRPr="00DC060C">
        <w:rPr>
          <w:rStyle w:val="Vnbnnidung"/>
          <w:color w:val="000000"/>
          <w:lang w:eastAsia="vi-VN"/>
        </w:rPr>
        <w:t xml:space="preserve"> 1 Nghị định </w:t>
      </w:r>
      <w:r w:rsidR="00363904" w:rsidRPr="00DC060C">
        <w:rPr>
          <w:rStyle w:val="Vnbnnidung"/>
          <w:color w:val="000000"/>
          <w:lang w:val="en-US" w:eastAsia="vi-VN"/>
        </w:rPr>
        <w:t>số</w:t>
      </w:r>
      <w:r w:rsidR="00363904" w:rsidRPr="00DC060C">
        <w:rPr>
          <w:rStyle w:val="Vnbnnidung"/>
          <w:color w:val="000000"/>
          <w:lang w:eastAsia="vi-VN"/>
        </w:rPr>
        <w:t xml:space="preserve"> 100/2016/NĐ-</w:t>
      </w:r>
      <w:r w:rsidRPr="00DC060C">
        <w:rPr>
          <w:rStyle w:val="Vnbnnidung"/>
          <w:color w:val="000000"/>
          <w:lang w:eastAsia="vi-VN"/>
        </w:rPr>
        <w:t>CP) thì cơ quan thuế điều chỉnh tiền thuế giá trị gia tăng, tiền chậm nộp, tiền phạt vi phạm hành chính về thuế (nếu có). Việc bù trừ, hoàn nộp thừa thực hiện theo quy định của pháp luật về quản lý thuế.</w:t>
      </w:r>
    </w:p>
    <w:p w:rsidR="0042577A" w:rsidRPr="00DC060C" w:rsidRDefault="00363904" w:rsidP="00363904">
      <w:pPr>
        <w:pStyle w:val="Vnbnnidung0"/>
        <w:tabs>
          <w:tab w:val="left" w:pos="1479"/>
        </w:tabs>
        <w:spacing w:after="120" w:line="240" w:lineRule="auto"/>
        <w:ind w:firstLine="720"/>
        <w:jc w:val="both"/>
        <w:rPr>
          <w:color w:val="000000"/>
        </w:rPr>
      </w:pPr>
      <w:bookmarkStart w:id="18" w:name="bookmark18"/>
      <w:bookmarkEnd w:id="18"/>
      <w:r w:rsidRPr="00DC060C">
        <w:rPr>
          <w:rStyle w:val="Vnbnnidung"/>
          <w:color w:val="000000"/>
          <w:lang w:val="en-US" w:eastAsia="vi-VN"/>
        </w:rPr>
        <w:t xml:space="preserve">3. </w:t>
      </w:r>
      <w:r w:rsidR="0042577A" w:rsidRPr="00DC060C">
        <w:rPr>
          <w:rStyle w:val="Vnbnnidung"/>
          <w:color w:val="000000"/>
          <w:lang w:eastAsia="vi-VN"/>
        </w:rPr>
        <w:t>Bãi bỏ quy định tại Điều 2 Nghị định số 10/2017/NĐ-CP ngày 09 tháng 02 năm 2017 của Chính phủ ban hành Quy chế quản lý tài chính của Tập đoàn Điện lực Việt Nam và sửa đổi, bổ sung khoản 4 Điều 4 Nghị định số 209/2013/NĐ-CP ngày 18 tháng 12 năm 2013 của Chính phủ.</w:t>
      </w:r>
    </w:p>
    <w:p w:rsidR="0042577A" w:rsidRPr="00DC060C" w:rsidRDefault="00363904" w:rsidP="00363904">
      <w:pPr>
        <w:pStyle w:val="Vnbnnidung0"/>
        <w:tabs>
          <w:tab w:val="left" w:pos="1483"/>
        </w:tabs>
        <w:spacing w:after="120" w:line="240" w:lineRule="auto"/>
        <w:ind w:firstLine="720"/>
        <w:jc w:val="both"/>
        <w:rPr>
          <w:color w:val="000000"/>
        </w:rPr>
      </w:pPr>
      <w:bookmarkStart w:id="19" w:name="bookmark19"/>
      <w:bookmarkEnd w:id="19"/>
      <w:r w:rsidRPr="00DC060C">
        <w:rPr>
          <w:rStyle w:val="Vnbnnidung"/>
          <w:color w:val="000000"/>
          <w:lang w:val="en-US" w:eastAsia="vi-VN"/>
        </w:rPr>
        <w:t xml:space="preserve">4. </w:t>
      </w:r>
      <w:r w:rsidR="0042577A" w:rsidRPr="00DC060C">
        <w:rPr>
          <w:rStyle w:val="Vnbnnidung"/>
          <w:color w:val="000000"/>
          <w:lang w:eastAsia="vi-VN"/>
        </w:rPr>
        <w:t>Bộ Tài chính hướng dẫn thi hành Nghị định này.</w:t>
      </w:r>
    </w:p>
    <w:p w:rsidR="0042577A" w:rsidRPr="00DC060C" w:rsidRDefault="00363904" w:rsidP="00363904">
      <w:pPr>
        <w:pStyle w:val="Vnbnnidung0"/>
        <w:tabs>
          <w:tab w:val="left" w:pos="1490"/>
        </w:tabs>
        <w:spacing w:after="120" w:line="240" w:lineRule="auto"/>
        <w:ind w:firstLine="720"/>
        <w:jc w:val="both"/>
        <w:rPr>
          <w:rStyle w:val="Vnbnnidung"/>
          <w:color w:val="000000"/>
        </w:rPr>
      </w:pPr>
      <w:bookmarkStart w:id="20" w:name="bookmark20"/>
      <w:bookmarkEnd w:id="20"/>
      <w:r w:rsidRPr="00DC060C">
        <w:rPr>
          <w:rStyle w:val="Vnbnnidung"/>
          <w:color w:val="000000"/>
          <w:lang w:val="en-US" w:eastAsia="vi-VN"/>
        </w:rPr>
        <w:t xml:space="preserve">5. </w:t>
      </w:r>
      <w:r w:rsidR="0042577A" w:rsidRPr="00DC060C">
        <w:rPr>
          <w:rStyle w:val="Vnbnnidung"/>
          <w:color w:val="000000"/>
          <w:lang w:eastAsia="vi-VN"/>
        </w:rPr>
        <w:t xml:space="preserve">Các Bộ trưởng, Thủ trưởng cơ quan ngang bộ, Thủ trưởng cơ quan thuộc Chính phủ, Chủ tịch </w:t>
      </w:r>
      <w:r w:rsidR="001102D2" w:rsidRPr="00DC060C">
        <w:rPr>
          <w:rStyle w:val="Vnbnnidung"/>
          <w:color w:val="000000"/>
          <w:lang w:eastAsia="vi-VN"/>
        </w:rPr>
        <w:t>Ủy ban</w:t>
      </w:r>
      <w:r w:rsidR="0042577A" w:rsidRPr="00DC060C">
        <w:rPr>
          <w:rStyle w:val="Vnbnnidung"/>
          <w:color w:val="000000"/>
          <w:lang w:eastAsia="vi-VN"/>
        </w:rPr>
        <w:t xml:space="preserve"> nhân dân tỉnh, thành phố trực thuộc trung ương và các tổ chức, cá nhân có liên quan chịu trách nhiệm thi hành Nghị định này.</w:t>
      </w:r>
    </w:p>
    <w:p w:rsidR="0053270B" w:rsidRPr="00DC060C" w:rsidRDefault="0053270B" w:rsidP="00363904">
      <w:pPr>
        <w:pStyle w:val="Vnbnnidung0"/>
        <w:tabs>
          <w:tab w:val="left" w:pos="1490"/>
        </w:tabs>
        <w:spacing w:after="0" w:line="240" w:lineRule="auto"/>
        <w:ind w:firstLine="0"/>
        <w:rPr>
          <w:rStyle w:val="Vnbnnidung"/>
          <w:color w:val="000000"/>
          <w:lang w:eastAsia="vi-VN"/>
        </w:rPr>
      </w:pPr>
    </w:p>
    <w:tbl>
      <w:tblPr>
        <w:tblW w:w="0" w:type="auto"/>
        <w:tblLook w:val="04A0" w:firstRow="1" w:lastRow="0" w:firstColumn="1" w:lastColumn="0" w:noHBand="0" w:noVBand="1"/>
      </w:tblPr>
      <w:tblGrid>
        <w:gridCol w:w="4498"/>
        <w:gridCol w:w="4522"/>
      </w:tblGrid>
      <w:tr w:rsidR="0053270B" w:rsidRPr="00DC060C" w:rsidTr="0042577A">
        <w:tc>
          <w:tcPr>
            <w:tcW w:w="4618" w:type="dxa"/>
            <w:shd w:val="clear" w:color="auto" w:fill="auto"/>
          </w:tcPr>
          <w:p w:rsidR="00DC060C" w:rsidRPr="00DC060C" w:rsidRDefault="0053270B" w:rsidP="00DC060C">
            <w:pPr>
              <w:pStyle w:val="Vnbnnidung0"/>
              <w:spacing w:after="0" w:line="240" w:lineRule="auto"/>
              <w:ind w:firstLine="0"/>
            </w:pPr>
            <w:r w:rsidRPr="00DC060C">
              <w:rPr>
                <w:rStyle w:val="Vnbnnidung"/>
                <w:color w:val="000000"/>
                <w:lang w:eastAsia="vi-VN"/>
              </w:rPr>
              <w:br w:type="page"/>
            </w:r>
          </w:p>
          <w:p w:rsidR="0053270B" w:rsidRPr="00DC060C" w:rsidRDefault="0053270B" w:rsidP="0042577A">
            <w:pPr>
              <w:pStyle w:val="Vnbnnidung0"/>
              <w:spacing w:after="0" w:line="240" w:lineRule="auto"/>
              <w:ind w:firstLine="0"/>
            </w:pPr>
          </w:p>
        </w:tc>
        <w:tc>
          <w:tcPr>
            <w:tcW w:w="4618" w:type="dxa"/>
            <w:shd w:val="clear" w:color="auto" w:fill="auto"/>
          </w:tcPr>
          <w:p w:rsidR="0053270B" w:rsidRPr="00DC060C" w:rsidRDefault="00363904" w:rsidP="0042577A">
            <w:pPr>
              <w:pStyle w:val="Vnbnnidung0"/>
              <w:tabs>
                <w:tab w:val="left" w:pos="1490"/>
              </w:tabs>
              <w:spacing w:after="0" w:line="240" w:lineRule="auto"/>
              <w:ind w:firstLine="0"/>
              <w:jc w:val="center"/>
              <w:rPr>
                <w:b/>
                <w:color w:val="000000"/>
                <w:lang w:val="en-US"/>
              </w:rPr>
            </w:pPr>
            <w:r w:rsidRPr="00DC060C">
              <w:rPr>
                <w:b/>
                <w:color w:val="000000"/>
                <w:lang w:val="en-US"/>
              </w:rPr>
              <w:t>TM. CHÍNH PHỦ</w:t>
            </w:r>
          </w:p>
          <w:p w:rsidR="00363904" w:rsidRPr="00DC060C" w:rsidRDefault="00363904" w:rsidP="0042577A">
            <w:pPr>
              <w:pStyle w:val="Vnbnnidung0"/>
              <w:tabs>
                <w:tab w:val="left" w:pos="1490"/>
              </w:tabs>
              <w:spacing w:after="0" w:line="240" w:lineRule="auto"/>
              <w:ind w:firstLine="0"/>
              <w:jc w:val="center"/>
              <w:rPr>
                <w:b/>
                <w:color w:val="000000"/>
                <w:lang w:val="en-US"/>
              </w:rPr>
            </w:pPr>
            <w:r w:rsidRPr="00DC060C">
              <w:rPr>
                <w:b/>
                <w:color w:val="000000"/>
                <w:lang w:val="en-US"/>
              </w:rPr>
              <w:t>KT. THỦ TƯỚNG</w:t>
            </w:r>
          </w:p>
          <w:p w:rsidR="00363904" w:rsidRPr="00DC060C" w:rsidRDefault="00363904" w:rsidP="0042577A">
            <w:pPr>
              <w:pStyle w:val="Vnbnnidung0"/>
              <w:tabs>
                <w:tab w:val="left" w:pos="1490"/>
              </w:tabs>
              <w:spacing w:after="0" w:line="240" w:lineRule="auto"/>
              <w:ind w:firstLine="0"/>
              <w:jc w:val="center"/>
              <w:rPr>
                <w:b/>
                <w:color w:val="000000"/>
                <w:lang w:val="en-US"/>
              </w:rPr>
            </w:pPr>
            <w:r w:rsidRPr="00DC060C">
              <w:rPr>
                <w:b/>
                <w:color w:val="000000"/>
                <w:lang w:val="en-US"/>
              </w:rPr>
              <w:t>PHÓ THỦ TƯỚNG</w:t>
            </w:r>
          </w:p>
          <w:p w:rsidR="00363904" w:rsidRPr="00DC060C" w:rsidRDefault="00363904" w:rsidP="0042577A">
            <w:pPr>
              <w:pStyle w:val="Vnbnnidung0"/>
              <w:tabs>
                <w:tab w:val="left" w:pos="1490"/>
              </w:tabs>
              <w:spacing w:after="0" w:line="240" w:lineRule="auto"/>
              <w:ind w:firstLine="0"/>
              <w:jc w:val="center"/>
              <w:rPr>
                <w:b/>
                <w:color w:val="000000"/>
                <w:lang w:val="en-US"/>
              </w:rPr>
            </w:pPr>
          </w:p>
          <w:p w:rsidR="00363904" w:rsidRPr="00DC060C" w:rsidRDefault="00363904" w:rsidP="0042577A">
            <w:pPr>
              <w:pStyle w:val="Vnbnnidung0"/>
              <w:tabs>
                <w:tab w:val="left" w:pos="1490"/>
              </w:tabs>
              <w:spacing w:after="0" w:line="240" w:lineRule="auto"/>
              <w:ind w:firstLine="0"/>
              <w:jc w:val="center"/>
              <w:rPr>
                <w:b/>
                <w:color w:val="000000"/>
                <w:lang w:val="en-US"/>
              </w:rPr>
            </w:pPr>
          </w:p>
          <w:p w:rsidR="00363904" w:rsidRPr="00DC060C" w:rsidRDefault="00363904" w:rsidP="0042577A">
            <w:pPr>
              <w:pStyle w:val="Vnbnnidung0"/>
              <w:tabs>
                <w:tab w:val="left" w:pos="1490"/>
              </w:tabs>
              <w:spacing w:after="0" w:line="240" w:lineRule="auto"/>
              <w:ind w:firstLine="0"/>
              <w:jc w:val="center"/>
              <w:rPr>
                <w:b/>
                <w:color w:val="000000"/>
                <w:lang w:val="en-US"/>
              </w:rPr>
            </w:pPr>
          </w:p>
          <w:p w:rsidR="00363904" w:rsidRPr="00DC060C" w:rsidRDefault="00363904" w:rsidP="0042577A">
            <w:pPr>
              <w:pStyle w:val="Vnbnnidung0"/>
              <w:tabs>
                <w:tab w:val="left" w:pos="1490"/>
              </w:tabs>
              <w:spacing w:after="0" w:line="240" w:lineRule="auto"/>
              <w:ind w:firstLine="0"/>
              <w:jc w:val="center"/>
              <w:rPr>
                <w:color w:val="000000"/>
                <w:lang w:val="en-US"/>
              </w:rPr>
            </w:pPr>
            <w:bookmarkStart w:id="21" w:name="_GoBack"/>
            <w:bookmarkEnd w:id="21"/>
            <w:r w:rsidRPr="00DC060C">
              <w:rPr>
                <w:b/>
                <w:color w:val="000000"/>
                <w:lang w:val="en-US"/>
              </w:rPr>
              <w:t>Lê Minh Khái</w:t>
            </w:r>
          </w:p>
        </w:tc>
      </w:tr>
    </w:tbl>
    <w:p w:rsidR="0053270B" w:rsidRPr="00DC060C" w:rsidRDefault="0053270B" w:rsidP="00363904">
      <w:pPr>
        <w:pStyle w:val="Vnbnnidung0"/>
        <w:tabs>
          <w:tab w:val="left" w:pos="1490"/>
        </w:tabs>
        <w:spacing w:after="120" w:line="240" w:lineRule="auto"/>
        <w:ind w:firstLine="720"/>
        <w:jc w:val="both"/>
        <w:rPr>
          <w:color w:val="000000"/>
        </w:rPr>
      </w:pPr>
    </w:p>
    <w:p w:rsidR="0053270B" w:rsidRPr="00DC060C" w:rsidRDefault="0053270B" w:rsidP="00363904">
      <w:pPr>
        <w:pStyle w:val="Vnbnnidung0"/>
        <w:tabs>
          <w:tab w:val="left" w:pos="706"/>
        </w:tabs>
        <w:spacing w:after="120" w:line="240" w:lineRule="auto"/>
        <w:ind w:firstLine="720"/>
        <w:jc w:val="both"/>
        <w:rPr>
          <w:color w:val="000000"/>
        </w:rPr>
      </w:pPr>
    </w:p>
    <w:sectPr w:rsidR="0053270B" w:rsidRPr="00DC060C" w:rsidSect="0053270B">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F4D" w:rsidRDefault="00F45F4D" w:rsidP="00A04578">
      <w:r>
        <w:separator/>
      </w:r>
    </w:p>
  </w:endnote>
  <w:endnote w:type="continuationSeparator" w:id="0">
    <w:p w:rsidR="00F45F4D" w:rsidRDefault="00F45F4D" w:rsidP="00A0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F4D" w:rsidRDefault="00F45F4D" w:rsidP="00A04578">
      <w:r>
        <w:separator/>
      </w:r>
    </w:p>
  </w:footnote>
  <w:footnote w:type="continuationSeparator" w:id="0">
    <w:p w:rsidR="00F45F4D" w:rsidRDefault="00F45F4D" w:rsidP="00A045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81"/>
  <w:drawingGridVerticalSpacing w:val="181"/>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F0"/>
    <w:rsid w:val="000277F0"/>
    <w:rsid w:val="001102D2"/>
    <w:rsid w:val="00363904"/>
    <w:rsid w:val="0042577A"/>
    <w:rsid w:val="0053270B"/>
    <w:rsid w:val="00986D55"/>
    <w:rsid w:val="00A04578"/>
    <w:rsid w:val="00DC060C"/>
    <w:rsid w:val="00F4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0D33D"/>
  <w14:defaultImageDpi w14:val="0"/>
  <w15:docId w15:val="{D007FD6F-40FB-4DAB-9FCD-4FDDBF97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Pr>
      <w:rFonts w:ascii="Times New Roman" w:hAnsi="Times New Roman" w:cs="Times New Roman"/>
      <w:u w:val="none"/>
    </w:rPr>
  </w:style>
  <w:style w:type="paragraph" w:customStyle="1" w:styleId="Vnbnnidung0">
    <w:name w:val="Văn bản nội dung"/>
    <w:basedOn w:val="Normal"/>
    <w:link w:val="Vnbnnidung"/>
    <w:uiPriority w:val="99"/>
    <w:pPr>
      <w:spacing w:after="80" w:line="276" w:lineRule="auto"/>
      <w:ind w:firstLine="400"/>
    </w:pPr>
    <w:rPr>
      <w:rFonts w:ascii="Times New Roman" w:hAnsi="Times New Roman" w:cs="Times New Roman"/>
      <w:color w:val="auto"/>
      <w:lang w:eastAsia="en-US"/>
    </w:rPr>
  </w:style>
  <w:style w:type="table" w:styleId="TableGrid">
    <w:name w:val="Table Grid"/>
    <w:basedOn w:val="TableNormal"/>
    <w:uiPriority w:val="39"/>
    <w:rsid w:val="00532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4578"/>
    <w:pPr>
      <w:tabs>
        <w:tab w:val="center" w:pos="4680"/>
        <w:tab w:val="right" w:pos="9360"/>
      </w:tabs>
    </w:pPr>
  </w:style>
  <w:style w:type="character" w:customStyle="1" w:styleId="HeaderChar">
    <w:name w:val="Header Char"/>
    <w:link w:val="Header"/>
    <w:uiPriority w:val="99"/>
    <w:rsid w:val="00A04578"/>
    <w:rPr>
      <w:rFonts w:cs="Courier New"/>
      <w:color w:val="000000"/>
      <w:lang w:val="vi-VN" w:eastAsia="vi-VN"/>
    </w:rPr>
  </w:style>
  <w:style w:type="paragraph" w:styleId="Footer">
    <w:name w:val="footer"/>
    <w:basedOn w:val="Normal"/>
    <w:link w:val="FooterChar"/>
    <w:uiPriority w:val="99"/>
    <w:unhideWhenUsed/>
    <w:rsid w:val="00A04578"/>
    <w:pPr>
      <w:tabs>
        <w:tab w:val="center" w:pos="4680"/>
        <w:tab w:val="right" w:pos="9360"/>
      </w:tabs>
    </w:pPr>
  </w:style>
  <w:style w:type="character" w:customStyle="1" w:styleId="FooterChar">
    <w:name w:val="Footer Char"/>
    <w:link w:val="Footer"/>
    <w:uiPriority w:val="99"/>
    <w:rsid w:val="00A04578"/>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dc:description/>
  <cp:lastModifiedBy>Phuc</cp:lastModifiedBy>
  <cp:revision>2</cp:revision>
  <dcterms:created xsi:type="dcterms:W3CDTF">2022-08-01T23:58:00Z</dcterms:created>
  <dcterms:modified xsi:type="dcterms:W3CDTF">2022-08-01T23:58:00Z</dcterms:modified>
</cp:coreProperties>
</file>