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rsidRPr="00BF19E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BF19ED" w:rsidRDefault="00A14022">
            <w:pPr>
              <w:spacing w:before="120"/>
              <w:jc w:val="center"/>
            </w:pPr>
            <w:r w:rsidRPr="00BF19ED">
              <w:rPr>
                <w:lang w:val="vi-VN"/>
              </w:rPr>
              <w:t xml:space="preserve">TỔNG CỤC THUẾ </w:t>
            </w:r>
            <w:r w:rsidRPr="00BF19ED">
              <w:rPr>
                <w:b/>
                <w:bCs/>
              </w:rPr>
              <w:br/>
            </w:r>
            <w:r w:rsidRPr="00BF19ED">
              <w:rPr>
                <w:b/>
                <w:bCs/>
                <w:lang w:val="vi-VN"/>
              </w:rPr>
              <w:t>CỤC THUẾ TP HÀ NỘI</w:t>
            </w:r>
            <w:r w:rsidRPr="00BF19ED">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BF19ED" w:rsidRDefault="00A14022">
            <w:pPr>
              <w:spacing w:before="120"/>
              <w:jc w:val="center"/>
            </w:pPr>
            <w:r w:rsidRPr="00BF19ED">
              <w:rPr>
                <w:b/>
                <w:bCs/>
                <w:lang w:val="vi-VN"/>
              </w:rPr>
              <w:t>CỘNG HÒA XÃ HỘI CHỦ NGHĨA VIỆT NAM</w:t>
            </w:r>
            <w:r w:rsidRPr="00BF19ED">
              <w:rPr>
                <w:b/>
                <w:bCs/>
                <w:lang w:val="vi-VN"/>
              </w:rPr>
              <w:br/>
              <w:t xml:space="preserve">Độc lập - Tự do - Hạnh phúc </w:t>
            </w:r>
            <w:r w:rsidRPr="00BF19ED">
              <w:rPr>
                <w:b/>
                <w:bCs/>
                <w:lang w:val="vi-VN"/>
              </w:rPr>
              <w:br/>
              <w:t>---------------</w:t>
            </w:r>
          </w:p>
        </w:tc>
      </w:tr>
      <w:tr w:rsidR="00000000" w:rsidRPr="00BF19E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BF19ED" w:rsidRDefault="00A14022">
            <w:pPr>
              <w:spacing w:before="120"/>
            </w:pPr>
            <w:r w:rsidRPr="00BF19ED">
              <w:rPr>
                <w:lang w:val="vi-VN"/>
              </w:rPr>
              <w:t xml:space="preserve">Số: </w:t>
            </w:r>
            <w:r w:rsidRPr="00BF19ED">
              <w:t>53407</w:t>
            </w:r>
            <w:r w:rsidRPr="00BF19ED">
              <w:rPr>
                <w:lang w:val="vi-VN"/>
              </w:rPr>
              <w:t>/CTHN-TTHT</w:t>
            </w:r>
            <w:r w:rsidRPr="00BF19ED">
              <w:br/>
            </w:r>
            <w:r w:rsidRPr="00BF19ED">
              <w:rPr>
                <w:i/>
                <w:iCs/>
                <w:lang w:val="vi-VN"/>
              </w:rPr>
              <w:t>V/v kê khai thuế TNDN sau khi sáp nhập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BF19ED" w:rsidRDefault="00A14022">
            <w:pPr>
              <w:spacing w:before="120"/>
              <w:jc w:val="right"/>
            </w:pPr>
            <w:r w:rsidRPr="00BF19ED">
              <w:rPr>
                <w:i/>
                <w:iCs/>
                <w:lang w:val="vi-VN"/>
              </w:rPr>
              <w:t>Hà Nội, ngày</w:t>
            </w:r>
            <w:r w:rsidRPr="00BF19ED">
              <w:rPr>
                <w:i/>
                <w:iCs/>
              </w:rPr>
              <w:t xml:space="preserve"> 04</w:t>
            </w:r>
            <w:r w:rsidRPr="00BF19ED">
              <w:rPr>
                <w:i/>
                <w:iCs/>
                <w:lang w:val="vi-VN"/>
              </w:rPr>
              <w:t xml:space="preserve"> tháng </w:t>
            </w:r>
            <w:r w:rsidRPr="00BF19ED">
              <w:rPr>
                <w:i/>
                <w:iCs/>
              </w:rPr>
              <w:t>11</w:t>
            </w:r>
            <w:r w:rsidRPr="00BF19ED">
              <w:rPr>
                <w:i/>
                <w:iCs/>
                <w:lang w:val="vi-VN"/>
              </w:rPr>
              <w:t xml:space="preserve"> năm 2022</w:t>
            </w:r>
          </w:p>
        </w:tc>
      </w:tr>
    </w:tbl>
    <w:p w:rsidR="00000000" w:rsidRPr="00BF19ED" w:rsidRDefault="00A14022">
      <w:pPr>
        <w:spacing w:before="120" w:after="280" w:afterAutospacing="1"/>
      </w:pPr>
      <w:r w:rsidRPr="00BF19ED">
        <w:t> </w:t>
      </w:r>
    </w:p>
    <w:p w:rsidR="00000000" w:rsidRPr="00BF19ED" w:rsidRDefault="00A14022">
      <w:pPr>
        <w:spacing w:before="120" w:after="280" w:afterAutospacing="1"/>
        <w:jc w:val="center"/>
      </w:pPr>
      <w:r w:rsidRPr="00BF19ED">
        <w:rPr>
          <w:b/>
          <w:bCs/>
          <w:lang w:val="vi-VN"/>
        </w:rPr>
        <w:t>Kính gửi:</w:t>
      </w:r>
      <w:r w:rsidRPr="00BF19ED">
        <w:rPr>
          <w:lang w:val="vi-VN"/>
        </w:rPr>
        <w:t xml:space="preserve"> Doanh nghiệp chế xuất Nitor</w:t>
      </w:r>
      <w:r w:rsidRPr="00BF19ED">
        <w:rPr>
          <w:lang w:val="vi-VN"/>
        </w:rPr>
        <w:t xml:space="preserve">i </w:t>
      </w:r>
      <w:r w:rsidRPr="00BF19ED">
        <w:t>V</w:t>
      </w:r>
      <w:r w:rsidRPr="00BF19ED">
        <w:rPr>
          <w:lang w:val="vi-VN"/>
        </w:rPr>
        <w:t>iệt Nam</w:t>
      </w:r>
      <w:r w:rsidRPr="00BF19ED">
        <w:br/>
      </w:r>
      <w:r w:rsidRPr="00BF19ED">
        <w:rPr>
          <w:i/>
          <w:iCs/>
          <w:lang w:val="vi-VN"/>
        </w:rPr>
        <w:t>(Địa chỉ: L</w:t>
      </w:r>
      <w:r w:rsidRPr="00BF19ED">
        <w:rPr>
          <w:i/>
          <w:iCs/>
        </w:rPr>
        <w:t>ô</w:t>
      </w:r>
      <w:r w:rsidRPr="00BF19ED">
        <w:rPr>
          <w:i/>
          <w:iCs/>
          <w:lang w:val="vi-VN"/>
        </w:rPr>
        <w:t xml:space="preserve"> 35, Khu Công nghiệp Quang Minh </w:t>
      </w:r>
      <w:r w:rsidRPr="00BF19ED">
        <w:rPr>
          <w:i/>
          <w:iCs/>
        </w:rPr>
        <w:t>I,</w:t>
      </w:r>
      <w:r w:rsidRPr="00BF19ED">
        <w:rPr>
          <w:i/>
          <w:iCs/>
          <w:lang w:val="vi-VN"/>
        </w:rPr>
        <w:t xml:space="preserve"> thị trấn Quang Minh, huyện Mê L</w:t>
      </w:r>
      <w:r w:rsidRPr="00BF19ED">
        <w:rPr>
          <w:i/>
          <w:iCs/>
        </w:rPr>
        <w:t>i</w:t>
      </w:r>
      <w:r w:rsidRPr="00BF19ED">
        <w:rPr>
          <w:i/>
          <w:iCs/>
          <w:lang w:val="vi-VN"/>
        </w:rPr>
        <w:t>nh, TP Hà Nội - MST: 2500223223)</w:t>
      </w:r>
    </w:p>
    <w:p w:rsidR="00000000" w:rsidRPr="00BF19ED" w:rsidRDefault="00A14022">
      <w:pPr>
        <w:spacing w:before="120" w:after="280" w:afterAutospacing="1"/>
      </w:pPr>
      <w:r w:rsidRPr="00BF19ED">
        <w:rPr>
          <w:lang w:val="vi-VN"/>
        </w:rPr>
        <w:t>Cục Thuế TP Hà Nội nhận được công văn không số không ngày tháng năm 2022 của Doanh nghiệp chế xuất Nitori Việt Nam (sau đây gọi tắt l</w:t>
      </w:r>
      <w:r w:rsidRPr="00BF19ED">
        <w:rPr>
          <w:lang w:val="vi-VN"/>
        </w:rPr>
        <w:t>à Doanh nghiệp) hỏi về chính sách thuế TNDN, Cục Thuế TP Hà Nội có ý kiến như sau:</w:t>
      </w:r>
    </w:p>
    <w:p w:rsidR="00000000" w:rsidRPr="00BF19ED" w:rsidRDefault="00A14022">
      <w:pPr>
        <w:spacing w:before="120" w:after="280" w:afterAutospacing="1"/>
      </w:pPr>
      <w:r w:rsidRPr="00BF19ED">
        <w:rPr>
          <w:lang w:val="vi-VN"/>
        </w:rPr>
        <w:t>- Căn cứ Điều 4 Thông tư số 96/2015/TT-BTC ngày 22/6/2015 của Bộ Tài chính hướng dẫn về thuế thu nhập doanh nghiệp tại Nghị định số 12/2015/NĐ-CP ngày 12/02/2015 của Chính p</w:t>
      </w:r>
      <w:r w:rsidRPr="00BF19ED">
        <w:rPr>
          <w:lang w:val="vi-VN"/>
        </w:rPr>
        <w:t>hủ:</w:t>
      </w:r>
    </w:p>
    <w:p w:rsidR="00000000" w:rsidRPr="00BF19ED" w:rsidRDefault="00A14022">
      <w:pPr>
        <w:spacing w:before="120" w:after="280" w:afterAutospacing="1"/>
      </w:pPr>
      <w:r w:rsidRPr="00BF19ED">
        <w:rPr>
          <w:i/>
          <w:iCs/>
          <w:lang w:val="vi-VN"/>
        </w:rPr>
        <w:t>“Điều 4. Sửa đổi, bổ sung Điều 6 Thông tư số 78/2014/TT-BTC (</w:t>
      </w:r>
      <w:r w:rsidRPr="00BF19ED">
        <w:rPr>
          <w:i/>
          <w:iCs/>
        </w:rPr>
        <w:t>đã được</w:t>
      </w:r>
      <w:r w:rsidRPr="00BF19ED">
        <w:rPr>
          <w:i/>
          <w:iCs/>
          <w:lang w:val="vi-VN"/>
        </w:rPr>
        <w:t xml:space="preserve"> sửa đổi, bổ sung tại Khoản 2 Điều 6 Thông tư số 119/2014/TT-BTC và Thông tư số 151/2014/TT-BTC) như sau:</w:t>
      </w:r>
    </w:p>
    <w:p w:rsidR="00000000" w:rsidRPr="00BF19ED" w:rsidRDefault="00A14022">
      <w:pPr>
        <w:spacing w:before="120" w:after="280" w:afterAutospacing="1"/>
      </w:pPr>
      <w:r w:rsidRPr="00BF19ED">
        <w:rPr>
          <w:i/>
          <w:iCs/>
          <w:lang w:val="vi-VN"/>
        </w:rPr>
        <w:t xml:space="preserve">“Điều 6. Các khoản chi được trừ và không được trừ </w:t>
      </w:r>
      <w:r w:rsidRPr="00BF19ED">
        <w:rPr>
          <w:i/>
          <w:iCs/>
        </w:rPr>
        <w:t>khi</w:t>
      </w:r>
      <w:r w:rsidRPr="00BF19ED">
        <w:rPr>
          <w:i/>
          <w:iCs/>
          <w:lang w:val="vi-VN"/>
        </w:rPr>
        <w:t xml:space="preserve"> xác định </w:t>
      </w:r>
      <w:r w:rsidRPr="00BF19ED">
        <w:rPr>
          <w:i/>
          <w:iCs/>
        </w:rPr>
        <w:t>thu nhập</w:t>
      </w:r>
      <w:r w:rsidRPr="00BF19ED">
        <w:rPr>
          <w:i/>
          <w:iCs/>
          <w:lang w:val="vi-VN"/>
        </w:rPr>
        <w:t xml:space="preserve"> chịu t</w:t>
      </w:r>
      <w:r w:rsidRPr="00BF19ED">
        <w:rPr>
          <w:i/>
          <w:iCs/>
          <w:lang w:val="vi-VN"/>
        </w:rPr>
        <w:t>huế</w:t>
      </w:r>
    </w:p>
    <w:p w:rsidR="00000000" w:rsidRPr="00BF19ED" w:rsidRDefault="00A14022">
      <w:pPr>
        <w:spacing w:before="120" w:after="280" w:afterAutospacing="1"/>
      </w:pPr>
      <w:r w:rsidRPr="00BF19ED">
        <w:rPr>
          <w:i/>
          <w:iCs/>
          <w:lang w:val="vi-VN"/>
        </w:rPr>
        <w:t xml:space="preserve">1. Trừ các khoản </w:t>
      </w:r>
      <w:r w:rsidRPr="00BF19ED">
        <w:rPr>
          <w:i/>
          <w:iCs/>
        </w:rPr>
        <w:t>chi</w:t>
      </w:r>
      <w:r w:rsidRPr="00BF19ED">
        <w:rPr>
          <w:i/>
          <w:iCs/>
          <w:lang w:val="vi-VN"/>
        </w:rPr>
        <w:t xml:space="preserve"> không được trừ nêu tại Khoản 2 Điều này, doanh nghiệp được trừ mọi khoản </w:t>
      </w:r>
      <w:r w:rsidRPr="00BF19ED">
        <w:rPr>
          <w:i/>
          <w:iCs/>
        </w:rPr>
        <w:t>chi</w:t>
      </w:r>
      <w:r w:rsidRPr="00BF19ED">
        <w:rPr>
          <w:i/>
          <w:iCs/>
          <w:lang w:val="vi-VN"/>
        </w:rPr>
        <w:t xml:space="preserve"> nếu đáp ứng đủ các điều kiện sau:</w:t>
      </w:r>
    </w:p>
    <w:p w:rsidR="00000000" w:rsidRPr="00BF19ED" w:rsidRDefault="00A14022">
      <w:pPr>
        <w:spacing w:before="120" w:after="280" w:afterAutospacing="1"/>
      </w:pPr>
      <w:r w:rsidRPr="00BF19ED">
        <w:rPr>
          <w:i/>
          <w:iCs/>
          <w:lang w:val="vi-VN"/>
        </w:rPr>
        <w:t xml:space="preserve">a) Khoản </w:t>
      </w:r>
      <w:r w:rsidRPr="00BF19ED">
        <w:rPr>
          <w:i/>
          <w:iCs/>
        </w:rPr>
        <w:t>chi</w:t>
      </w:r>
      <w:r w:rsidRPr="00BF19ED">
        <w:rPr>
          <w:i/>
          <w:iCs/>
          <w:lang w:val="vi-VN"/>
        </w:rPr>
        <w:t xml:space="preserve"> thực tế phát sinh liên quan đến hoạt động sản xuất, kinh doanh của doanh nghiệp.</w:t>
      </w:r>
    </w:p>
    <w:p w:rsidR="00000000" w:rsidRPr="00BF19ED" w:rsidRDefault="00A14022">
      <w:pPr>
        <w:spacing w:before="120" w:after="280" w:afterAutospacing="1"/>
      </w:pPr>
      <w:r w:rsidRPr="00BF19ED">
        <w:rPr>
          <w:i/>
          <w:iCs/>
          <w:lang w:val="vi-VN"/>
        </w:rPr>
        <w:t xml:space="preserve">b) Khoản chi </w:t>
      </w:r>
      <w:r w:rsidRPr="00BF19ED">
        <w:rPr>
          <w:i/>
          <w:iCs/>
        </w:rPr>
        <w:t>có</w:t>
      </w:r>
      <w:r w:rsidRPr="00BF19ED">
        <w:rPr>
          <w:i/>
          <w:iCs/>
          <w:lang w:val="vi-VN"/>
        </w:rPr>
        <w:t xml:space="preserve"> đủ hóa đơn</w:t>
      </w:r>
      <w:r w:rsidRPr="00BF19ED">
        <w:rPr>
          <w:i/>
          <w:iCs/>
          <w:lang w:val="vi-VN"/>
        </w:rPr>
        <w:t>, chứng từ hợp pháp theo quy định của pháp luật</w:t>
      </w:r>
    </w:p>
    <w:p w:rsidR="00000000" w:rsidRPr="00BF19ED" w:rsidRDefault="00A14022">
      <w:pPr>
        <w:spacing w:before="120" w:after="280" w:afterAutospacing="1"/>
      </w:pPr>
      <w:r w:rsidRPr="00BF19ED">
        <w:rPr>
          <w:i/>
          <w:iCs/>
        </w:rPr>
        <w:t>…</w:t>
      </w:r>
    </w:p>
    <w:p w:rsidR="00000000" w:rsidRPr="00BF19ED" w:rsidRDefault="00A14022">
      <w:pPr>
        <w:spacing w:before="120" w:after="280" w:afterAutospacing="1"/>
      </w:pPr>
      <w:r w:rsidRPr="00BF19ED">
        <w:rPr>
          <w:i/>
          <w:iCs/>
          <w:lang w:val="vi-VN"/>
        </w:rPr>
        <w:t xml:space="preserve">2. Các khoản </w:t>
      </w:r>
      <w:r w:rsidRPr="00BF19ED">
        <w:rPr>
          <w:i/>
          <w:iCs/>
        </w:rPr>
        <w:t xml:space="preserve">chi </w:t>
      </w:r>
      <w:r w:rsidRPr="00BF19ED">
        <w:rPr>
          <w:i/>
          <w:iCs/>
          <w:u w:val="single"/>
          <w:lang w:val="vi-VN"/>
        </w:rPr>
        <w:t xml:space="preserve">không được trừ </w:t>
      </w:r>
      <w:r w:rsidRPr="00BF19ED">
        <w:rPr>
          <w:i/>
          <w:iCs/>
          <w:u w:val="single"/>
        </w:rPr>
        <w:t>khi</w:t>
      </w:r>
      <w:r w:rsidRPr="00BF19ED">
        <w:rPr>
          <w:i/>
          <w:iCs/>
          <w:u w:val="single"/>
          <w:lang w:val="vi-VN"/>
        </w:rPr>
        <w:t xml:space="preserve"> xác định thu nh</w:t>
      </w:r>
      <w:r w:rsidRPr="00BF19ED">
        <w:rPr>
          <w:i/>
          <w:iCs/>
          <w:u w:val="single"/>
        </w:rPr>
        <w:t>ậ</w:t>
      </w:r>
      <w:r w:rsidRPr="00BF19ED">
        <w:rPr>
          <w:i/>
          <w:iCs/>
          <w:u w:val="single"/>
          <w:lang w:val="vi-VN"/>
        </w:rPr>
        <w:t>p ch</w:t>
      </w:r>
      <w:r w:rsidRPr="00BF19ED">
        <w:rPr>
          <w:i/>
          <w:iCs/>
          <w:u w:val="single"/>
        </w:rPr>
        <w:t>ị</w:t>
      </w:r>
      <w:r w:rsidRPr="00BF19ED">
        <w:rPr>
          <w:i/>
          <w:iCs/>
          <w:u w:val="single"/>
          <w:lang w:val="vi-VN"/>
        </w:rPr>
        <w:t>u thuế</w:t>
      </w:r>
      <w:r w:rsidRPr="00BF19ED">
        <w:rPr>
          <w:i/>
          <w:iCs/>
          <w:lang w:val="vi-VN"/>
        </w:rPr>
        <w:t xml:space="preserve"> bao gồm:</w:t>
      </w:r>
    </w:p>
    <w:p w:rsidR="00000000" w:rsidRPr="00BF19ED" w:rsidRDefault="00A14022">
      <w:pPr>
        <w:spacing w:before="120" w:after="280" w:afterAutospacing="1"/>
      </w:pPr>
      <w:r w:rsidRPr="00BF19ED">
        <w:rPr>
          <w:i/>
          <w:iCs/>
          <w:lang w:val="vi-VN"/>
        </w:rPr>
        <w:t xml:space="preserve">2.1. Khoản </w:t>
      </w:r>
      <w:r w:rsidRPr="00BF19ED">
        <w:rPr>
          <w:i/>
          <w:iCs/>
        </w:rPr>
        <w:t>chi</w:t>
      </w:r>
      <w:r w:rsidRPr="00BF19ED">
        <w:rPr>
          <w:i/>
          <w:iCs/>
          <w:lang w:val="vi-VN"/>
        </w:rPr>
        <w:t xml:space="preserve"> không đáp ứng đủ các điều kiện quy định tại Khoản 1 Điều này.</w:t>
      </w:r>
    </w:p>
    <w:p w:rsidR="00000000" w:rsidRPr="00BF19ED" w:rsidRDefault="00A14022">
      <w:pPr>
        <w:spacing w:before="120" w:after="280" w:afterAutospacing="1"/>
      </w:pPr>
      <w:r w:rsidRPr="00BF19ED">
        <w:rPr>
          <w:i/>
          <w:iCs/>
        </w:rPr>
        <w:t>…</w:t>
      </w:r>
    </w:p>
    <w:p w:rsidR="00000000" w:rsidRPr="00BF19ED" w:rsidRDefault="00A14022">
      <w:pPr>
        <w:spacing w:before="120" w:after="280" w:afterAutospacing="1"/>
      </w:pPr>
      <w:r w:rsidRPr="00BF19ED">
        <w:rPr>
          <w:i/>
          <w:iCs/>
          <w:lang w:val="vi-VN"/>
        </w:rPr>
        <w:t xml:space="preserve">2.6. </w:t>
      </w:r>
      <w:r w:rsidRPr="00BF19ED">
        <w:rPr>
          <w:i/>
          <w:iCs/>
        </w:rPr>
        <w:t>Chi</w:t>
      </w:r>
      <w:r w:rsidRPr="00BF19ED">
        <w:rPr>
          <w:i/>
          <w:iCs/>
          <w:lang w:val="vi-VN"/>
        </w:rPr>
        <w:t xml:space="preserve"> tiền lương, tiền công, tiền thưởng cho người </w:t>
      </w:r>
      <w:proofErr w:type="gramStart"/>
      <w:r w:rsidRPr="00BF19ED">
        <w:rPr>
          <w:i/>
          <w:iCs/>
          <w:lang w:val="vi-VN"/>
        </w:rPr>
        <w:t>lao</w:t>
      </w:r>
      <w:proofErr w:type="gramEnd"/>
      <w:r w:rsidRPr="00BF19ED">
        <w:rPr>
          <w:i/>
          <w:iCs/>
          <w:lang w:val="vi-VN"/>
        </w:rPr>
        <w:t xml:space="preserve"> động thuộc một trong các trường hợp sau:</w:t>
      </w:r>
    </w:p>
    <w:p w:rsidR="00000000" w:rsidRPr="00BF19ED" w:rsidRDefault="00A14022">
      <w:pPr>
        <w:spacing w:before="120" w:after="280" w:afterAutospacing="1"/>
      </w:pPr>
      <w:r w:rsidRPr="00BF19ED">
        <w:rPr>
          <w:i/>
          <w:iCs/>
          <w:lang w:val="vi-VN"/>
        </w:rPr>
        <w:t xml:space="preserve">a) </w:t>
      </w:r>
      <w:r w:rsidRPr="00BF19ED">
        <w:rPr>
          <w:i/>
          <w:iCs/>
        </w:rPr>
        <w:t>Chi</w:t>
      </w:r>
      <w:r w:rsidRPr="00BF19ED">
        <w:rPr>
          <w:i/>
          <w:iCs/>
          <w:lang w:val="vi-VN"/>
        </w:rPr>
        <w:t xml:space="preserve"> tiền lương, tiền công và các khoản phải trả khác cho người lao động doanh nghiệp đã hạch toán vào chi phí sản xuất kinh doanh trong kỳ nhưng thực tế không </w:t>
      </w:r>
      <w:r w:rsidRPr="00BF19ED">
        <w:rPr>
          <w:i/>
          <w:iCs/>
        </w:rPr>
        <w:t>chi</w:t>
      </w:r>
      <w:r w:rsidRPr="00BF19ED">
        <w:rPr>
          <w:i/>
          <w:iCs/>
          <w:lang w:val="vi-VN"/>
        </w:rPr>
        <w:t xml:space="preserve"> trả hoặc không </w:t>
      </w:r>
      <w:r w:rsidRPr="00BF19ED">
        <w:rPr>
          <w:i/>
          <w:iCs/>
        </w:rPr>
        <w:t>có</w:t>
      </w:r>
      <w:r w:rsidRPr="00BF19ED">
        <w:rPr>
          <w:i/>
          <w:iCs/>
          <w:lang w:val="vi-VN"/>
        </w:rPr>
        <w:t xml:space="preserve"> chứng từ thanh toán theo qu</w:t>
      </w:r>
      <w:r w:rsidRPr="00BF19ED">
        <w:rPr>
          <w:i/>
          <w:iCs/>
          <w:lang w:val="vi-VN"/>
        </w:rPr>
        <w:t>y định của pháp luật.</w:t>
      </w:r>
    </w:p>
    <w:p w:rsidR="00000000" w:rsidRPr="00BF19ED" w:rsidRDefault="00A14022">
      <w:pPr>
        <w:spacing w:before="120" w:after="280" w:afterAutospacing="1"/>
      </w:pPr>
      <w:r w:rsidRPr="00BF19ED">
        <w:rPr>
          <w:i/>
          <w:iCs/>
        </w:rPr>
        <w:t>…</w:t>
      </w:r>
    </w:p>
    <w:p w:rsidR="00000000" w:rsidRPr="00BF19ED" w:rsidRDefault="00A14022">
      <w:pPr>
        <w:spacing w:before="120" w:after="280" w:afterAutospacing="1"/>
      </w:pPr>
      <w:r w:rsidRPr="00BF19ED">
        <w:rPr>
          <w:i/>
          <w:iCs/>
          <w:lang w:val="vi-VN"/>
        </w:rPr>
        <w:lastRenderedPageBreak/>
        <w:t xml:space="preserve">c) </w:t>
      </w:r>
      <w:r w:rsidRPr="00BF19ED">
        <w:rPr>
          <w:i/>
          <w:iCs/>
          <w:u w:val="single"/>
        </w:rPr>
        <w:t>Chi</w:t>
      </w:r>
      <w:r w:rsidRPr="00BF19ED">
        <w:rPr>
          <w:i/>
          <w:iCs/>
          <w:u w:val="single"/>
          <w:lang w:val="vi-VN"/>
        </w:rPr>
        <w:t xml:space="preserve"> tiền lương</w:t>
      </w:r>
      <w:r w:rsidRPr="00BF19ED">
        <w:rPr>
          <w:i/>
          <w:iCs/>
          <w:u w:val="single"/>
        </w:rPr>
        <w:t>,</w:t>
      </w:r>
      <w:r w:rsidRPr="00BF19ED">
        <w:rPr>
          <w:i/>
          <w:iCs/>
          <w:u w:val="single"/>
          <w:lang w:val="vi-VN"/>
        </w:rPr>
        <w:t xml:space="preserve"> tiền công và các khoản ph</w:t>
      </w:r>
      <w:r w:rsidRPr="00BF19ED">
        <w:rPr>
          <w:i/>
          <w:iCs/>
          <w:u w:val="single"/>
        </w:rPr>
        <w:t>ụ</w:t>
      </w:r>
      <w:r w:rsidRPr="00BF19ED">
        <w:rPr>
          <w:i/>
          <w:iCs/>
          <w:u w:val="single"/>
          <w:lang w:val="vi-VN"/>
        </w:rPr>
        <w:t xml:space="preserve"> cấp phải trả cho n</w:t>
      </w:r>
      <w:r w:rsidRPr="00BF19ED">
        <w:rPr>
          <w:i/>
          <w:iCs/>
          <w:u w:val="single"/>
        </w:rPr>
        <w:t>g</w:t>
      </w:r>
      <w:r w:rsidRPr="00BF19ED">
        <w:rPr>
          <w:i/>
          <w:iCs/>
          <w:u w:val="single"/>
          <w:lang w:val="vi-VN"/>
        </w:rPr>
        <w:t xml:space="preserve">ười lao </w:t>
      </w:r>
      <w:r w:rsidRPr="00BF19ED">
        <w:rPr>
          <w:i/>
          <w:iCs/>
          <w:u w:val="single"/>
        </w:rPr>
        <w:t>động nhưng</w:t>
      </w:r>
      <w:r w:rsidRPr="00BF19ED">
        <w:rPr>
          <w:i/>
          <w:iCs/>
          <w:u w:val="single"/>
          <w:lang w:val="vi-VN"/>
        </w:rPr>
        <w:t xml:space="preserve"> hết thời hạn n</w:t>
      </w:r>
      <w:r w:rsidRPr="00BF19ED">
        <w:rPr>
          <w:i/>
          <w:iCs/>
          <w:u w:val="single"/>
        </w:rPr>
        <w:t>ộ</w:t>
      </w:r>
      <w:r w:rsidRPr="00BF19ED">
        <w:rPr>
          <w:i/>
          <w:iCs/>
          <w:u w:val="single"/>
          <w:lang w:val="vi-VN"/>
        </w:rPr>
        <w:t xml:space="preserve">p hồ sơ quyết toán thuế năm thực tế chưa chi trừ trường hợp doanh </w:t>
      </w:r>
      <w:r w:rsidRPr="00BF19ED">
        <w:rPr>
          <w:i/>
          <w:iCs/>
          <w:u w:val="single"/>
        </w:rPr>
        <w:t>nghiệp</w:t>
      </w:r>
      <w:r w:rsidRPr="00BF19ED">
        <w:rPr>
          <w:i/>
          <w:iCs/>
          <w:u w:val="single"/>
          <w:lang w:val="vi-VN"/>
        </w:rPr>
        <w:t xml:space="preserve"> có tr</w:t>
      </w:r>
      <w:r w:rsidRPr="00BF19ED">
        <w:rPr>
          <w:i/>
          <w:iCs/>
          <w:u w:val="single"/>
        </w:rPr>
        <w:t>í</w:t>
      </w:r>
      <w:r w:rsidRPr="00BF19ED">
        <w:rPr>
          <w:i/>
          <w:iCs/>
          <w:u w:val="single"/>
          <w:lang w:val="vi-VN"/>
        </w:rPr>
        <w:t>ch lập qu</w:t>
      </w:r>
      <w:r w:rsidRPr="00BF19ED">
        <w:rPr>
          <w:i/>
          <w:iCs/>
          <w:u w:val="single"/>
        </w:rPr>
        <w:t>ỹ</w:t>
      </w:r>
      <w:r w:rsidRPr="00BF19ED">
        <w:rPr>
          <w:i/>
          <w:iCs/>
          <w:u w:val="single"/>
          <w:lang w:val="vi-VN"/>
        </w:rPr>
        <w:t xml:space="preserve"> d</w:t>
      </w:r>
      <w:r w:rsidRPr="00BF19ED">
        <w:rPr>
          <w:i/>
          <w:iCs/>
          <w:u w:val="single"/>
        </w:rPr>
        <w:t>ự phòng</w:t>
      </w:r>
      <w:r w:rsidRPr="00BF19ED">
        <w:rPr>
          <w:i/>
          <w:iCs/>
          <w:u w:val="single"/>
          <w:lang w:val="vi-VN"/>
        </w:rPr>
        <w:t xml:space="preserve"> để b</w:t>
      </w:r>
      <w:r w:rsidRPr="00BF19ED">
        <w:rPr>
          <w:i/>
          <w:iCs/>
          <w:u w:val="single"/>
        </w:rPr>
        <w:t>ổ sung</w:t>
      </w:r>
      <w:r w:rsidRPr="00BF19ED">
        <w:rPr>
          <w:i/>
          <w:iCs/>
          <w:u w:val="single"/>
          <w:lang w:val="vi-VN"/>
        </w:rPr>
        <w:t xml:space="preserve"> vào </w:t>
      </w:r>
      <w:r w:rsidRPr="00BF19ED">
        <w:rPr>
          <w:i/>
          <w:iCs/>
          <w:u w:val="single"/>
        </w:rPr>
        <w:t>quỹ</w:t>
      </w:r>
      <w:r w:rsidRPr="00BF19ED">
        <w:rPr>
          <w:i/>
          <w:iCs/>
          <w:u w:val="single"/>
          <w:lang w:val="vi-VN"/>
        </w:rPr>
        <w:t xml:space="preserve"> tiền lương của </w:t>
      </w:r>
      <w:r w:rsidRPr="00BF19ED">
        <w:rPr>
          <w:i/>
          <w:iCs/>
          <w:u w:val="single"/>
          <w:lang w:val="vi-VN"/>
        </w:rPr>
        <w:t xml:space="preserve">năm sau </w:t>
      </w:r>
      <w:r w:rsidRPr="00BF19ED">
        <w:rPr>
          <w:i/>
          <w:iCs/>
          <w:u w:val="single"/>
        </w:rPr>
        <w:t>liền</w:t>
      </w:r>
      <w:r w:rsidRPr="00BF19ED">
        <w:rPr>
          <w:i/>
          <w:iCs/>
          <w:u w:val="single"/>
          <w:lang w:val="vi-VN"/>
        </w:rPr>
        <w:t xml:space="preserve"> kề</w:t>
      </w:r>
      <w:r w:rsidRPr="00BF19ED">
        <w:rPr>
          <w:i/>
          <w:iCs/>
          <w:lang w:val="vi-VN"/>
        </w:rPr>
        <w:t xml:space="preserve">. Mức dự phòng hàng năm do doanh nghiệp quyết định nhưng không quá 17% quỹ tiền </w:t>
      </w:r>
      <w:r w:rsidRPr="00BF19ED">
        <w:rPr>
          <w:i/>
          <w:iCs/>
        </w:rPr>
        <w:t>l</w:t>
      </w:r>
      <w:r w:rsidRPr="00BF19ED">
        <w:rPr>
          <w:i/>
          <w:iCs/>
          <w:lang w:val="vi-VN"/>
        </w:rPr>
        <w:t>ương thực hiện.</w:t>
      </w:r>
    </w:p>
    <w:p w:rsidR="00000000" w:rsidRPr="00BF19ED" w:rsidRDefault="00A14022">
      <w:pPr>
        <w:spacing w:before="120" w:after="280" w:afterAutospacing="1"/>
      </w:pPr>
      <w:r w:rsidRPr="00BF19ED">
        <w:rPr>
          <w:i/>
          <w:iCs/>
          <w:lang w:val="vi-VN"/>
        </w:rPr>
        <w:t>Quỹ tiền lương thực hiện là t</w:t>
      </w:r>
      <w:r w:rsidRPr="00BF19ED">
        <w:rPr>
          <w:i/>
          <w:iCs/>
        </w:rPr>
        <w:t>ổ</w:t>
      </w:r>
      <w:r w:rsidRPr="00BF19ED">
        <w:rPr>
          <w:i/>
          <w:iCs/>
          <w:lang w:val="vi-VN"/>
        </w:rPr>
        <w:t>ng s</w:t>
      </w:r>
      <w:r w:rsidRPr="00BF19ED">
        <w:rPr>
          <w:i/>
          <w:iCs/>
        </w:rPr>
        <w:t>ố</w:t>
      </w:r>
      <w:r w:rsidRPr="00BF19ED">
        <w:rPr>
          <w:i/>
          <w:iCs/>
          <w:lang w:val="vi-VN"/>
        </w:rPr>
        <w:t xml:space="preserve"> tiền lương thực </w:t>
      </w:r>
      <w:r w:rsidRPr="00BF19ED">
        <w:rPr>
          <w:i/>
          <w:iCs/>
        </w:rPr>
        <w:t>tế</w:t>
      </w:r>
      <w:r w:rsidRPr="00BF19ED">
        <w:rPr>
          <w:i/>
          <w:iCs/>
          <w:lang w:val="vi-VN"/>
        </w:rPr>
        <w:t xml:space="preserve"> đã ch</w:t>
      </w:r>
      <w:r w:rsidRPr="00BF19ED">
        <w:rPr>
          <w:i/>
          <w:iCs/>
        </w:rPr>
        <w:t>i</w:t>
      </w:r>
      <w:r w:rsidRPr="00BF19ED">
        <w:rPr>
          <w:i/>
          <w:iCs/>
          <w:lang w:val="vi-VN"/>
        </w:rPr>
        <w:t xml:space="preserve"> trả của năm quyết toán đó đến thời hạn cuối cùng nộp hồ sơ quyết toán theo quy địn</w:t>
      </w:r>
      <w:r w:rsidRPr="00BF19ED">
        <w:rPr>
          <w:i/>
          <w:iCs/>
          <w:lang w:val="vi-VN"/>
        </w:rPr>
        <w:t>h (không bao gồm s</w:t>
      </w:r>
      <w:r w:rsidRPr="00BF19ED">
        <w:rPr>
          <w:i/>
          <w:iCs/>
        </w:rPr>
        <w:t>ố</w:t>
      </w:r>
      <w:r w:rsidRPr="00BF19ED">
        <w:rPr>
          <w:i/>
          <w:iCs/>
          <w:lang w:val="vi-VN"/>
        </w:rPr>
        <w:t xml:space="preserve"> tiền trích lập quỹ dự phòng tiền lương của năm trước ch</w:t>
      </w:r>
      <w:r w:rsidRPr="00BF19ED">
        <w:rPr>
          <w:i/>
          <w:iCs/>
        </w:rPr>
        <w:t>i</w:t>
      </w:r>
      <w:r w:rsidRPr="00BF19ED">
        <w:rPr>
          <w:i/>
          <w:iCs/>
          <w:lang w:val="vi-VN"/>
        </w:rPr>
        <w:t xml:space="preserve"> trong năm quyết toán thuế)</w:t>
      </w:r>
      <w:r w:rsidRPr="00BF19ED">
        <w:rPr>
          <w:i/>
          <w:iCs/>
        </w:rPr>
        <w:t>.</w:t>
      </w:r>
    </w:p>
    <w:p w:rsidR="00000000" w:rsidRPr="00BF19ED" w:rsidRDefault="00A14022">
      <w:pPr>
        <w:spacing w:before="120" w:after="280" w:afterAutospacing="1"/>
      </w:pPr>
      <w:r w:rsidRPr="00BF19ED">
        <w:rPr>
          <w:i/>
          <w:iCs/>
          <w:lang w:val="vi-VN"/>
        </w:rPr>
        <w:t xml:space="preserve">Việc trích lập dự phòng tiền lương phải đảm bảo sau </w:t>
      </w:r>
      <w:r w:rsidRPr="00BF19ED">
        <w:rPr>
          <w:i/>
          <w:iCs/>
        </w:rPr>
        <w:t>khi</w:t>
      </w:r>
      <w:r w:rsidRPr="00BF19ED">
        <w:rPr>
          <w:i/>
          <w:iCs/>
          <w:lang w:val="vi-VN"/>
        </w:rPr>
        <w:t xml:space="preserve"> trích lập</w:t>
      </w:r>
      <w:r w:rsidRPr="00BF19ED">
        <w:rPr>
          <w:i/>
          <w:iCs/>
        </w:rPr>
        <w:t>,</w:t>
      </w:r>
      <w:r w:rsidRPr="00BF19ED">
        <w:rPr>
          <w:i/>
          <w:iCs/>
          <w:lang w:val="vi-VN"/>
        </w:rPr>
        <w:t xml:space="preserve"> doanh nghiệp không bị lỗ</w:t>
      </w:r>
      <w:r w:rsidRPr="00BF19ED">
        <w:rPr>
          <w:i/>
          <w:iCs/>
        </w:rPr>
        <w:t>,</w:t>
      </w:r>
      <w:r w:rsidRPr="00BF19ED">
        <w:rPr>
          <w:i/>
          <w:iCs/>
          <w:lang w:val="vi-VN"/>
        </w:rPr>
        <w:t xml:space="preserve"> nếu doanh nghiệp bị lỗ thì không được trích đủ 17%.</w:t>
      </w:r>
    </w:p>
    <w:p w:rsidR="00000000" w:rsidRPr="00BF19ED" w:rsidRDefault="00A14022">
      <w:pPr>
        <w:spacing w:before="120" w:after="280" w:afterAutospacing="1"/>
      </w:pPr>
      <w:r w:rsidRPr="00BF19ED">
        <w:rPr>
          <w:i/>
          <w:iCs/>
          <w:lang w:val="vi-VN"/>
        </w:rPr>
        <w:t>Trường</w:t>
      </w:r>
      <w:r w:rsidRPr="00BF19ED">
        <w:rPr>
          <w:i/>
          <w:iCs/>
          <w:lang w:val="vi-VN"/>
        </w:rPr>
        <w:t xml:space="preserve"> hợp năm trước doanh nghiệp có trích lập quỹ dự phòng tiền lương mà sau 6 tháng, kể từ ngày kết thúc năm tài chính doanh nghiệp chưa sử dụng hoặc sử dụng không hết </w:t>
      </w:r>
      <w:r w:rsidRPr="00BF19ED">
        <w:rPr>
          <w:i/>
          <w:iCs/>
        </w:rPr>
        <w:t>quỹ</w:t>
      </w:r>
      <w:r w:rsidRPr="00BF19ED">
        <w:rPr>
          <w:i/>
          <w:iCs/>
          <w:lang w:val="vi-VN"/>
        </w:rPr>
        <w:t xml:space="preserve"> dự phòng tiền lương thì doanh nghiệp phải t</w:t>
      </w:r>
      <w:r w:rsidRPr="00BF19ED">
        <w:rPr>
          <w:i/>
          <w:iCs/>
        </w:rPr>
        <w:t>í</w:t>
      </w:r>
      <w:r w:rsidRPr="00BF19ED">
        <w:rPr>
          <w:i/>
          <w:iCs/>
          <w:lang w:val="vi-VN"/>
        </w:rPr>
        <w:t>nh giảm chi phí của năm sau.</w:t>
      </w:r>
    </w:p>
    <w:p w:rsidR="00000000" w:rsidRPr="00BF19ED" w:rsidRDefault="00A14022">
      <w:pPr>
        <w:spacing w:before="120" w:after="280" w:afterAutospacing="1"/>
      </w:pPr>
      <w:r w:rsidRPr="00BF19ED">
        <w:rPr>
          <w:i/>
          <w:iCs/>
          <w:lang w:val="vi-VN"/>
        </w:rPr>
        <w:t>Ví dụ 9: Khi nộ</w:t>
      </w:r>
      <w:r w:rsidRPr="00BF19ED">
        <w:rPr>
          <w:i/>
          <w:iCs/>
          <w:lang w:val="vi-VN"/>
        </w:rPr>
        <w:t>p hồ sơ quyết toán thuế năm 2014, DN A c</w:t>
      </w:r>
      <w:r w:rsidRPr="00BF19ED">
        <w:rPr>
          <w:i/>
          <w:iCs/>
        </w:rPr>
        <w:t>ó</w:t>
      </w:r>
      <w:r w:rsidRPr="00BF19ED">
        <w:rPr>
          <w:i/>
          <w:iCs/>
          <w:lang w:val="vi-VN"/>
        </w:rPr>
        <w:t xml:space="preserve"> trích quỹ dự phòng tiền lương là 10 tỷ đồng, đến ngày 30/06/2015 (</w:t>
      </w:r>
      <w:r w:rsidRPr="00BF19ED">
        <w:rPr>
          <w:i/>
          <w:iCs/>
        </w:rPr>
        <w:t>đối</w:t>
      </w:r>
      <w:r w:rsidRPr="00BF19ED">
        <w:rPr>
          <w:i/>
          <w:iCs/>
          <w:lang w:val="vi-VN"/>
        </w:rPr>
        <w:t xml:space="preserve"> với trường hợp doanh nghiệp áp dụng kỳ tính thuế theo năm dương lịch), DN A mới chi số tiền từ quỹ dự phòng tiền lương năm 2014 là 7 tỷ đồng thì</w:t>
      </w:r>
      <w:r w:rsidRPr="00BF19ED">
        <w:rPr>
          <w:i/>
          <w:iCs/>
          <w:lang w:val="vi-VN"/>
        </w:rPr>
        <w:t xml:space="preserve"> DN A phải tính giảm </w:t>
      </w:r>
      <w:r w:rsidRPr="00BF19ED">
        <w:rPr>
          <w:i/>
          <w:iCs/>
        </w:rPr>
        <w:t>chi</w:t>
      </w:r>
      <w:r w:rsidRPr="00BF19ED">
        <w:rPr>
          <w:i/>
          <w:iCs/>
          <w:lang w:val="vi-VN"/>
        </w:rPr>
        <w:t xml:space="preserve"> phí tiền lương năm sau (năm 2015) là 3 tỷ đồng (10 tỷ </w:t>
      </w:r>
      <w:r w:rsidRPr="00BF19ED">
        <w:rPr>
          <w:i/>
          <w:iCs/>
        </w:rPr>
        <w:t xml:space="preserve">- </w:t>
      </w:r>
      <w:r w:rsidRPr="00BF19ED">
        <w:rPr>
          <w:i/>
          <w:iCs/>
          <w:lang w:val="vi-VN"/>
        </w:rPr>
        <w:t>7 tỷ). Kh</w:t>
      </w:r>
      <w:r w:rsidRPr="00BF19ED">
        <w:rPr>
          <w:i/>
          <w:iCs/>
        </w:rPr>
        <w:t>i</w:t>
      </w:r>
      <w:r w:rsidRPr="00BF19ED">
        <w:rPr>
          <w:i/>
          <w:iCs/>
          <w:lang w:val="vi-VN"/>
        </w:rPr>
        <w:t xml:space="preserve"> lập hồ sơ quyết toán năm 2015 nếu DN A có nhu cầu trích lập thì tiếp tục trích lập quỹ dự phòng tiền lương theo quy định.”</w:t>
      </w:r>
    </w:p>
    <w:p w:rsidR="00000000" w:rsidRPr="00BF19ED" w:rsidRDefault="00A14022">
      <w:pPr>
        <w:spacing w:before="120" w:after="280" w:afterAutospacing="1"/>
      </w:pPr>
      <w:r w:rsidRPr="00BF19ED">
        <w:rPr>
          <w:i/>
          <w:iCs/>
          <w:lang w:val="vi-VN"/>
        </w:rPr>
        <w:t>“2.19. Trích, lập và sử dụng các khoản dự</w:t>
      </w:r>
      <w:r w:rsidRPr="00BF19ED">
        <w:rPr>
          <w:i/>
          <w:iCs/>
          <w:lang w:val="vi-VN"/>
        </w:rPr>
        <w:t xml:space="preserve"> phòng không theo đúng hướng dẫn của Bộ Tài chính về trích lập dự phòng: dự phòng giảm giá hàng tồn kho, dự phòng t</w:t>
      </w:r>
      <w:r w:rsidRPr="00BF19ED">
        <w:rPr>
          <w:i/>
          <w:iCs/>
        </w:rPr>
        <w:t>ổ</w:t>
      </w:r>
      <w:r w:rsidRPr="00BF19ED">
        <w:rPr>
          <w:i/>
          <w:iCs/>
          <w:lang w:val="vi-VN"/>
        </w:rPr>
        <w:t xml:space="preserve">n thất các khoản đầu tư tài chính, dự phòng nợ phải thu </w:t>
      </w:r>
      <w:r w:rsidRPr="00BF19ED">
        <w:rPr>
          <w:i/>
          <w:iCs/>
        </w:rPr>
        <w:t>khó</w:t>
      </w:r>
      <w:r w:rsidRPr="00BF19ED">
        <w:rPr>
          <w:i/>
          <w:iCs/>
          <w:lang w:val="vi-VN"/>
        </w:rPr>
        <w:t xml:space="preserve"> đòi, dự phòng bảo hành sản phẩm, hàng hóa, công trình xây l</w:t>
      </w:r>
      <w:r w:rsidRPr="00BF19ED">
        <w:rPr>
          <w:i/>
          <w:iCs/>
        </w:rPr>
        <w:t>ắ</w:t>
      </w:r>
      <w:r w:rsidRPr="00BF19ED">
        <w:rPr>
          <w:i/>
          <w:iCs/>
          <w:lang w:val="vi-VN"/>
        </w:rPr>
        <w:t>p và dự phòng rủi ro</w:t>
      </w:r>
      <w:r w:rsidRPr="00BF19ED">
        <w:rPr>
          <w:i/>
          <w:iCs/>
          <w:lang w:val="vi-VN"/>
        </w:rPr>
        <w:t xml:space="preserve"> nghề nghiệp của doanh nghiệp thẩm định giá, doanh nghiệp cung c</w:t>
      </w:r>
      <w:r w:rsidRPr="00BF19ED">
        <w:rPr>
          <w:i/>
          <w:iCs/>
        </w:rPr>
        <w:t>ấ</w:t>
      </w:r>
      <w:r w:rsidRPr="00BF19ED">
        <w:rPr>
          <w:i/>
          <w:iCs/>
          <w:lang w:val="vi-VN"/>
        </w:rPr>
        <w:t>p dịch vụ kiểm toán độc lập.</w:t>
      </w:r>
    </w:p>
    <w:p w:rsidR="00000000" w:rsidRPr="00BF19ED" w:rsidRDefault="00A14022">
      <w:pPr>
        <w:spacing w:before="120" w:after="280" w:afterAutospacing="1"/>
      </w:pPr>
      <w:r w:rsidRPr="00BF19ED">
        <w:rPr>
          <w:i/>
          <w:iCs/>
          <w:lang w:val="vi-VN"/>
        </w:rPr>
        <w:t xml:space="preserve">2.20. Các khoản </w:t>
      </w:r>
      <w:r w:rsidRPr="00BF19ED">
        <w:rPr>
          <w:i/>
          <w:iCs/>
        </w:rPr>
        <w:t>chi</w:t>
      </w:r>
      <w:r w:rsidRPr="00BF19ED">
        <w:rPr>
          <w:i/>
          <w:iCs/>
          <w:lang w:val="vi-VN"/>
        </w:rPr>
        <w:t xml:space="preserve"> ph</w:t>
      </w:r>
      <w:r w:rsidRPr="00BF19ED">
        <w:rPr>
          <w:i/>
          <w:iCs/>
        </w:rPr>
        <w:t>í</w:t>
      </w:r>
      <w:r w:rsidRPr="00BF19ED">
        <w:rPr>
          <w:i/>
          <w:iCs/>
          <w:lang w:val="vi-VN"/>
        </w:rPr>
        <w:t xml:space="preserve"> trích trước theo kỳ hạn, theo chu kỳ mà đến hết kỳ hạn, hết chu kỳ chưa ch</w:t>
      </w:r>
      <w:r w:rsidRPr="00BF19ED">
        <w:rPr>
          <w:i/>
          <w:iCs/>
        </w:rPr>
        <w:t>i</w:t>
      </w:r>
      <w:r w:rsidRPr="00BF19ED">
        <w:rPr>
          <w:i/>
          <w:iCs/>
          <w:lang w:val="vi-VN"/>
        </w:rPr>
        <w:t xml:space="preserve"> hoặc ch</w:t>
      </w:r>
      <w:r w:rsidRPr="00BF19ED">
        <w:rPr>
          <w:i/>
          <w:iCs/>
        </w:rPr>
        <w:t>i</w:t>
      </w:r>
      <w:r w:rsidRPr="00BF19ED">
        <w:rPr>
          <w:i/>
          <w:iCs/>
          <w:lang w:val="vi-VN"/>
        </w:rPr>
        <w:t xml:space="preserve"> không hết.</w:t>
      </w:r>
    </w:p>
    <w:p w:rsidR="00000000" w:rsidRPr="00BF19ED" w:rsidRDefault="00A14022">
      <w:pPr>
        <w:spacing w:before="120" w:after="280" w:afterAutospacing="1"/>
      </w:pPr>
      <w:r w:rsidRPr="00BF19ED">
        <w:rPr>
          <w:i/>
          <w:iCs/>
          <w:lang w:val="vi-VN"/>
        </w:rPr>
        <w:t>Các khoản trích trước bao gồm: ..., các kh</w:t>
      </w:r>
      <w:r w:rsidRPr="00BF19ED">
        <w:rPr>
          <w:i/>
          <w:iCs/>
          <w:lang w:val="vi-VN"/>
        </w:rPr>
        <w:t xml:space="preserve">oản trích trước đối với hoạt động đã tính doanh thu nhưng còn tiếp tục phải thực hiện nghĩa vụ theo hợp đồng (kể cả trường hợp doanh nghiệp có hoạt động cho thuê tài sản, hoạt động kinh doanh dịch vụ trong nhiều năm nhưng </w:t>
      </w:r>
      <w:r w:rsidRPr="00BF19ED">
        <w:rPr>
          <w:i/>
          <w:iCs/>
        </w:rPr>
        <w:t>có</w:t>
      </w:r>
      <w:r w:rsidRPr="00BF19ED">
        <w:rPr>
          <w:i/>
          <w:iCs/>
          <w:lang w:val="vi-VN"/>
        </w:rPr>
        <w:t xml:space="preserve"> thu tiền trước của khách hàng v</w:t>
      </w:r>
      <w:r w:rsidRPr="00BF19ED">
        <w:rPr>
          <w:i/>
          <w:iCs/>
          <w:lang w:val="vi-VN"/>
        </w:rPr>
        <w:t>à đã tính toàn bộ vào doanh thu của năm thu tiền) và các khoản trích trước khác.</w:t>
      </w:r>
    </w:p>
    <w:p w:rsidR="00000000" w:rsidRPr="00BF19ED" w:rsidRDefault="00A14022">
      <w:pPr>
        <w:spacing w:before="120" w:after="280" w:afterAutospacing="1"/>
      </w:pPr>
      <w:r w:rsidRPr="00BF19ED">
        <w:rPr>
          <w:i/>
          <w:iCs/>
          <w:lang w:val="vi-VN"/>
        </w:rPr>
        <w:t xml:space="preserve">Trường hợp doanh nghiệp có hoạt động sản xuất kinh doanh đã ghi nhận doanh thu tính thuế thu nhập doanh nghiệp nhưng chưa phát </w:t>
      </w:r>
      <w:r w:rsidRPr="00BF19ED">
        <w:rPr>
          <w:i/>
          <w:iCs/>
        </w:rPr>
        <w:t>sinh</w:t>
      </w:r>
      <w:r w:rsidRPr="00BF19ED">
        <w:rPr>
          <w:i/>
          <w:iCs/>
          <w:lang w:val="vi-VN"/>
        </w:rPr>
        <w:t xml:space="preserve"> đầy đủ chi phí thì được trích trước các kho</w:t>
      </w:r>
      <w:r w:rsidRPr="00BF19ED">
        <w:rPr>
          <w:i/>
          <w:iCs/>
          <w:lang w:val="vi-VN"/>
        </w:rPr>
        <w:t xml:space="preserve">ản chi </w:t>
      </w:r>
      <w:r w:rsidRPr="00BF19ED">
        <w:rPr>
          <w:i/>
          <w:iCs/>
        </w:rPr>
        <w:t>phí</w:t>
      </w:r>
      <w:r w:rsidRPr="00BF19ED">
        <w:rPr>
          <w:i/>
          <w:iCs/>
          <w:lang w:val="vi-VN"/>
        </w:rPr>
        <w:t xml:space="preserve"> theo quy định vào chi phí được trừ </w:t>
      </w:r>
      <w:r w:rsidRPr="00BF19ED">
        <w:rPr>
          <w:i/>
          <w:iCs/>
        </w:rPr>
        <w:t>tương</w:t>
      </w:r>
      <w:r w:rsidRPr="00BF19ED">
        <w:rPr>
          <w:i/>
          <w:iCs/>
          <w:lang w:val="vi-VN"/>
        </w:rPr>
        <w:t xml:space="preserve"> ứng với doanh thu đã ghi nhận kh</w:t>
      </w:r>
      <w:r w:rsidRPr="00BF19ED">
        <w:rPr>
          <w:i/>
          <w:iCs/>
        </w:rPr>
        <w:t>i</w:t>
      </w:r>
      <w:r w:rsidRPr="00BF19ED">
        <w:rPr>
          <w:i/>
          <w:iCs/>
          <w:lang w:val="vi-VN"/>
        </w:rPr>
        <w:t xml:space="preserve"> xác định thu nhập chịu thuế thu nhập doanh nghiệp. Khi kết thúc hợp đồng, doanh nghiệp phải </w:t>
      </w:r>
      <w:r w:rsidRPr="00BF19ED">
        <w:rPr>
          <w:i/>
          <w:iCs/>
        </w:rPr>
        <w:t>tính</w:t>
      </w:r>
      <w:r w:rsidRPr="00BF19ED">
        <w:rPr>
          <w:i/>
          <w:iCs/>
          <w:lang w:val="vi-VN"/>
        </w:rPr>
        <w:t xml:space="preserve"> toán xác định ch</w:t>
      </w:r>
      <w:r w:rsidRPr="00BF19ED">
        <w:rPr>
          <w:i/>
          <w:iCs/>
        </w:rPr>
        <w:t>í</w:t>
      </w:r>
      <w:r w:rsidRPr="00BF19ED">
        <w:rPr>
          <w:i/>
          <w:iCs/>
          <w:lang w:val="vi-VN"/>
        </w:rPr>
        <w:t>nh xác số chi phí thực tế c</w:t>
      </w:r>
      <w:r w:rsidRPr="00BF19ED">
        <w:rPr>
          <w:i/>
          <w:iCs/>
        </w:rPr>
        <w:t>ă</w:t>
      </w:r>
      <w:r w:rsidRPr="00BF19ED">
        <w:rPr>
          <w:i/>
          <w:iCs/>
          <w:lang w:val="vi-VN"/>
        </w:rPr>
        <w:t>n cứ các hóa đơn, chứng từ h</w:t>
      </w:r>
      <w:r w:rsidRPr="00BF19ED">
        <w:rPr>
          <w:i/>
          <w:iCs/>
          <w:lang w:val="vi-VN"/>
        </w:rPr>
        <w:t xml:space="preserve">ợp pháp thực tế đã phát sinh để điều chỉnh tăng chi phí (trường hợp chi phí thực tế phát sinh lớn hơn số đã trích trước) hoặc giảm chi phí (trường hợp chi phí thực tế phát </w:t>
      </w:r>
      <w:r w:rsidRPr="00BF19ED">
        <w:rPr>
          <w:i/>
          <w:iCs/>
        </w:rPr>
        <w:t>sinh</w:t>
      </w:r>
      <w:r w:rsidRPr="00BF19ED">
        <w:rPr>
          <w:i/>
          <w:iCs/>
          <w:lang w:val="vi-VN"/>
        </w:rPr>
        <w:t xml:space="preserve"> nhỏ hơn số đã trích trước) vào kỳ tính thuế kết thúc hợp đồng. ”</w:t>
      </w:r>
    </w:p>
    <w:p w:rsidR="00000000" w:rsidRPr="00BF19ED" w:rsidRDefault="00A14022">
      <w:pPr>
        <w:spacing w:before="120" w:after="280" w:afterAutospacing="1"/>
      </w:pPr>
      <w:r w:rsidRPr="00BF19ED">
        <w:rPr>
          <w:i/>
          <w:iCs/>
          <w:lang w:val="vi-VN"/>
        </w:rPr>
        <w:t>“2.21. Lỗ chên</w:t>
      </w:r>
      <w:r w:rsidRPr="00BF19ED">
        <w:rPr>
          <w:i/>
          <w:iCs/>
          <w:lang w:val="vi-VN"/>
        </w:rPr>
        <w:t xml:space="preserve">h lệch tỷ giá </w:t>
      </w:r>
      <w:r w:rsidRPr="00BF19ED">
        <w:rPr>
          <w:i/>
          <w:iCs/>
        </w:rPr>
        <w:t>hối</w:t>
      </w:r>
      <w:r w:rsidRPr="00BF19ED">
        <w:rPr>
          <w:i/>
          <w:iCs/>
          <w:lang w:val="vi-VN"/>
        </w:rPr>
        <w:t xml:space="preserve"> đoái do đánh giá lại các khoản mục tiền tệ có gốc ngoại t</w:t>
      </w:r>
      <w:r w:rsidRPr="00BF19ED">
        <w:rPr>
          <w:i/>
          <w:iCs/>
        </w:rPr>
        <w:t>ệ</w:t>
      </w:r>
      <w:r w:rsidRPr="00BF19ED">
        <w:rPr>
          <w:i/>
          <w:iCs/>
          <w:lang w:val="vi-VN"/>
        </w:rPr>
        <w:t xml:space="preserve"> cuối kỳ tính thuế bao gồm chênh lệch tỷ giá h</w:t>
      </w:r>
      <w:r w:rsidRPr="00BF19ED">
        <w:rPr>
          <w:i/>
          <w:iCs/>
        </w:rPr>
        <w:t>ố</w:t>
      </w:r>
      <w:r w:rsidRPr="00BF19ED">
        <w:rPr>
          <w:i/>
          <w:iCs/>
          <w:lang w:val="vi-VN"/>
        </w:rPr>
        <w:t>i đoái do đ</w:t>
      </w:r>
      <w:r w:rsidRPr="00BF19ED">
        <w:rPr>
          <w:i/>
          <w:iCs/>
        </w:rPr>
        <w:t>á</w:t>
      </w:r>
      <w:r w:rsidRPr="00BF19ED">
        <w:rPr>
          <w:i/>
          <w:iCs/>
          <w:lang w:val="vi-VN"/>
        </w:rPr>
        <w:t>nh giá lại số d</w:t>
      </w:r>
      <w:r w:rsidRPr="00BF19ED">
        <w:rPr>
          <w:i/>
          <w:iCs/>
        </w:rPr>
        <w:t>ư cuối</w:t>
      </w:r>
      <w:r w:rsidRPr="00BF19ED">
        <w:rPr>
          <w:i/>
          <w:iCs/>
          <w:lang w:val="vi-VN"/>
        </w:rPr>
        <w:t xml:space="preserve"> năm là: tiền mặt, tiền gửi, tiền đang chuyển, các khoản nợ phải thu có gốc ngoại tệ (trừ lỗ chênh l</w:t>
      </w:r>
      <w:r w:rsidRPr="00BF19ED">
        <w:rPr>
          <w:i/>
          <w:iCs/>
          <w:lang w:val="vi-VN"/>
        </w:rPr>
        <w:t>ệch tỷ gi</w:t>
      </w:r>
      <w:r w:rsidRPr="00BF19ED">
        <w:rPr>
          <w:i/>
          <w:iCs/>
        </w:rPr>
        <w:t>á</w:t>
      </w:r>
      <w:r w:rsidRPr="00BF19ED">
        <w:rPr>
          <w:i/>
          <w:iCs/>
          <w:lang w:val="vi-VN"/>
        </w:rPr>
        <w:t xml:space="preserve"> h</w:t>
      </w:r>
      <w:r w:rsidRPr="00BF19ED">
        <w:rPr>
          <w:i/>
          <w:iCs/>
        </w:rPr>
        <w:t>ố</w:t>
      </w:r>
      <w:r w:rsidRPr="00BF19ED">
        <w:rPr>
          <w:i/>
          <w:iCs/>
          <w:lang w:val="vi-VN"/>
        </w:rPr>
        <w:t>i đoái do đ</w:t>
      </w:r>
      <w:r w:rsidRPr="00BF19ED">
        <w:rPr>
          <w:i/>
          <w:iCs/>
        </w:rPr>
        <w:t>á</w:t>
      </w:r>
      <w:r w:rsidRPr="00BF19ED">
        <w:rPr>
          <w:i/>
          <w:iCs/>
          <w:lang w:val="vi-VN"/>
        </w:rPr>
        <w:t xml:space="preserve">nh giá lại các khoản nợ phải trả </w:t>
      </w:r>
      <w:r w:rsidRPr="00BF19ED">
        <w:rPr>
          <w:i/>
          <w:iCs/>
        </w:rPr>
        <w:t>có</w:t>
      </w:r>
      <w:r w:rsidRPr="00BF19ED">
        <w:rPr>
          <w:i/>
          <w:iCs/>
          <w:lang w:val="vi-VN"/>
        </w:rPr>
        <w:t xml:space="preserve"> gốc ngoại tệ cuối kỳ tính thuế).</w:t>
      </w:r>
    </w:p>
    <w:p w:rsidR="00000000" w:rsidRPr="00BF19ED" w:rsidRDefault="00A14022">
      <w:pPr>
        <w:spacing w:before="120" w:after="280" w:afterAutospacing="1"/>
      </w:pPr>
      <w:r w:rsidRPr="00BF19ED">
        <w:rPr>
          <w:i/>
          <w:iCs/>
        </w:rPr>
        <w:t>…</w:t>
      </w:r>
    </w:p>
    <w:p w:rsidR="00000000" w:rsidRPr="00BF19ED" w:rsidRDefault="00A14022">
      <w:pPr>
        <w:spacing w:before="120" w:after="280" w:afterAutospacing="1"/>
      </w:pPr>
      <w:r w:rsidRPr="00BF19ED">
        <w:rPr>
          <w:i/>
          <w:iCs/>
          <w:lang w:val="vi-VN"/>
        </w:rPr>
        <w:t>Đ</w:t>
      </w:r>
      <w:r w:rsidRPr="00BF19ED">
        <w:rPr>
          <w:i/>
          <w:iCs/>
        </w:rPr>
        <w:t>ố</w:t>
      </w:r>
      <w:r w:rsidRPr="00BF19ED">
        <w:rPr>
          <w:i/>
          <w:iCs/>
          <w:lang w:val="vi-VN"/>
        </w:rPr>
        <w:t xml:space="preserve">i với khoản nợ phải thu và khoản cho vay có gốc ngoại tệ phát sinh trong kỳ, chênh lệch tỷ giá hối </w:t>
      </w:r>
      <w:r w:rsidRPr="00BF19ED">
        <w:rPr>
          <w:i/>
          <w:iCs/>
        </w:rPr>
        <w:t>đoái</w:t>
      </w:r>
      <w:r w:rsidRPr="00BF19ED">
        <w:rPr>
          <w:i/>
          <w:iCs/>
          <w:lang w:val="vi-VN"/>
        </w:rPr>
        <w:t xml:space="preserve"> được tính vào chi phí được trừ là khoản chênh lệch giữ</w:t>
      </w:r>
      <w:r w:rsidRPr="00BF19ED">
        <w:rPr>
          <w:i/>
          <w:iCs/>
          <w:lang w:val="vi-VN"/>
        </w:rPr>
        <w:t>a tỷ giá tại thời điểm phát sinh thu hồi nợ hoặc thu hồi khoản cho vay với tỷ giá tại thời điểm ghi nhận khoản nợ phải thu hoặc khoản cho vay ban đầu. ”</w:t>
      </w:r>
    </w:p>
    <w:p w:rsidR="00000000" w:rsidRPr="00BF19ED" w:rsidRDefault="00A14022">
      <w:pPr>
        <w:spacing w:before="120" w:after="280" w:afterAutospacing="1"/>
      </w:pPr>
      <w:r w:rsidRPr="00BF19ED">
        <w:rPr>
          <w:lang w:val="vi-VN"/>
        </w:rPr>
        <w:t>Căn cứ các quy định nêu trên, Cục Thuế TP Hà Nội hướng dẫn như sau:</w:t>
      </w:r>
    </w:p>
    <w:p w:rsidR="00000000" w:rsidRPr="00BF19ED" w:rsidRDefault="00A14022">
      <w:pPr>
        <w:spacing w:before="120" w:after="280" w:afterAutospacing="1"/>
      </w:pPr>
      <w:r w:rsidRPr="00BF19ED">
        <w:rPr>
          <w:lang w:val="vi-VN"/>
        </w:rPr>
        <w:t xml:space="preserve">Trường hợp trong năm 2020, Công ty </w:t>
      </w:r>
      <w:r w:rsidRPr="00BF19ED">
        <w:rPr>
          <w:lang w:val="vi-VN"/>
        </w:rPr>
        <w:t>TNH</w:t>
      </w:r>
      <w:r w:rsidRPr="00BF19ED">
        <w:t>H</w:t>
      </w:r>
      <w:r w:rsidRPr="00BF19ED">
        <w:rPr>
          <w:lang w:val="vi-VN"/>
        </w:rPr>
        <w:t xml:space="preserve"> Nitori Bà Rịa - Vũng Tàu (nay là Doanh nghiệp chế xuất Nitori Việt Nam - chi nhánh Bà Rịa - Vũng Tàu) có phát sinh các khoản chi như: chi tiền lương, tiền công và các khoản phụ cấp phải trả cho người lao động; trích trước khoản phải trả nhà cung cấp n</w:t>
      </w:r>
      <w:r w:rsidRPr="00BF19ED">
        <w:rPr>
          <w:lang w:val="vi-VN"/>
        </w:rPr>
        <w:t xml:space="preserve">hưng hết thời hạn nộp hồ sơ quyết toán thuế năm thực tế chưa thực chi </w:t>
      </w:r>
      <w:r w:rsidRPr="00BF19ED">
        <w:t>thì</w:t>
      </w:r>
      <w:r w:rsidRPr="00BF19ED">
        <w:rPr>
          <w:lang w:val="vi-VN"/>
        </w:rPr>
        <w:t xml:space="preserve"> các khoản chi này thuộc các khoản chi không được trừ đi khi xác định thu nhập chịu thuế TNDN. Trường hợp đến kỳ tính thuế năm 2021, đơn vị đã thực hiện chi trả các khoản tiền đã </w:t>
      </w:r>
      <w:r w:rsidRPr="00BF19ED">
        <w:t>tr</w:t>
      </w:r>
      <w:r w:rsidRPr="00BF19ED">
        <w:rPr>
          <w:lang w:val="vi-VN"/>
        </w:rPr>
        <w:t>íc</w:t>
      </w:r>
      <w:r w:rsidRPr="00BF19ED">
        <w:rPr>
          <w:lang w:val="vi-VN"/>
        </w:rPr>
        <w:t xml:space="preserve">h trước nêu trên thì đơn vị được tính vào chi phí được trừ </w:t>
      </w:r>
      <w:r w:rsidRPr="00BF19ED">
        <w:t>khi</w:t>
      </w:r>
      <w:r w:rsidRPr="00BF19ED">
        <w:rPr>
          <w:lang w:val="vi-VN"/>
        </w:rPr>
        <w:t xml:space="preserve"> tính thuế TNDN của kỳ tính thuế mà đơn vị thực chi nếu đáp ứng điều kiện quy định tại Điều 4 Thông tư số 96/2015/TT-BTC ngày 22/6/2015 của Bộ Tài chính.</w:t>
      </w:r>
    </w:p>
    <w:p w:rsidR="00000000" w:rsidRPr="00BF19ED" w:rsidRDefault="00A14022">
      <w:pPr>
        <w:spacing w:before="120" w:after="280" w:afterAutospacing="1"/>
      </w:pPr>
      <w:r w:rsidRPr="00BF19ED">
        <w:rPr>
          <w:lang w:val="vi-VN"/>
        </w:rPr>
        <w:t>Trường hợp đơn vị thực hiện trích, lập v</w:t>
      </w:r>
      <w:r w:rsidRPr="00BF19ED">
        <w:rPr>
          <w:lang w:val="vi-VN"/>
        </w:rPr>
        <w:t xml:space="preserve">à sử dụng các khoản dự phòng không theo </w:t>
      </w:r>
      <w:r w:rsidRPr="00BF19ED">
        <w:t>đúng</w:t>
      </w:r>
      <w:r w:rsidRPr="00BF19ED">
        <w:rPr>
          <w:lang w:val="vi-VN"/>
        </w:rPr>
        <w:t xml:space="preserve"> hướng dẫn của Bộ Tài chính về trích lập dự phòng và phát sinh lỗ chênh lệch tỷ giá hối đoái do đánh giá lại các khoản mục tiền tệ có gốc ngoại tệ cuối kỳ tính thuế thì không được trừ đi khi xác định thu nhập chị</w:t>
      </w:r>
      <w:r w:rsidRPr="00BF19ED">
        <w:rPr>
          <w:lang w:val="vi-VN"/>
        </w:rPr>
        <w:t>u thuế TNDN theo quy định tại Điều 4 Thông tư số 96/2015/TT-BTC.</w:t>
      </w:r>
    </w:p>
    <w:p w:rsidR="00000000" w:rsidRPr="00BF19ED" w:rsidRDefault="00A14022">
      <w:pPr>
        <w:spacing w:before="120" w:after="280" w:afterAutospacing="1"/>
      </w:pPr>
      <w:r w:rsidRPr="00BF19ED">
        <w:rPr>
          <w:lang w:val="vi-VN"/>
        </w:rPr>
        <w:t xml:space="preserve">Việc trích lập và xử lý các khoản dự phòng giảm giá hàng tồn kho, tổn thất các khoản đầu tư, nợ phải thu khó đòi và bảo hành sản phẩm, hàng hóa, dịch vụ, công trình xây dựng tại doanh nghiệp </w:t>
      </w:r>
      <w:r w:rsidRPr="00BF19ED">
        <w:rPr>
          <w:lang w:val="vi-VN"/>
        </w:rPr>
        <w:t>và ghi nhận, đánh giá, xử lý các khoản chênh lệch tỷ giá hối đoái trong doanh nghiệp thực hiện theo các hướng dẫn của Bộ Tài chính.</w:t>
      </w:r>
    </w:p>
    <w:p w:rsidR="00000000" w:rsidRPr="00BF19ED" w:rsidRDefault="00A14022">
      <w:pPr>
        <w:spacing w:before="120" w:after="280" w:afterAutospacing="1"/>
      </w:pPr>
      <w:r w:rsidRPr="00BF19ED">
        <w:rPr>
          <w:lang w:val="vi-VN"/>
        </w:rPr>
        <w:t>Trong quá trình thực hiện chính sách thuế, trường hợp còn vướng mắc, Doanh nghiệp có thể tham khảo các văn bản hướng dẫn của</w:t>
      </w:r>
      <w:r w:rsidRPr="00BF19ED">
        <w:rPr>
          <w:lang w:val="vi-VN"/>
        </w:rPr>
        <w:t xml:space="preserve"> Cục Thuế TP Hà Nội được đăng tải trên website </w:t>
      </w:r>
      <w:r w:rsidRPr="00BF19ED">
        <w:rPr>
          <w:b/>
          <w:bCs/>
          <w:lang w:val="vi-VN"/>
        </w:rPr>
        <w:t>http://hanoi.gdt.gov.v</w:t>
      </w:r>
      <w:r w:rsidRPr="00BF19ED">
        <w:rPr>
          <w:b/>
          <w:bCs/>
        </w:rPr>
        <w:t>n</w:t>
      </w:r>
      <w:r w:rsidRPr="00BF19ED">
        <w:rPr>
          <w:lang w:val="vi-VN"/>
        </w:rPr>
        <w:t xml:space="preserve"> hoặc liên hệ với Phòng Thanh tra - Kiểm Tra số 2 để được hỗ trợ giải quyết.</w:t>
      </w:r>
    </w:p>
    <w:p w:rsidR="00000000" w:rsidRPr="00BF19ED" w:rsidRDefault="00A14022">
      <w:pPr>
        <w:spacing w:before="120" w:after="280" w:afterAutospacing="1"/>
      </w:pPr>
      <w:r w:rsidRPr="00BF19ED">
        <w:rPr>
          <w:lang w:val="vi-VN"/>
        </w:rPr>
        <w:t xml:space="preserve">Cục Thuế TP Hà </w:t>
      </w:r>
      <w:r w:rsidRPr="00BF19ED">
        <w:t>Nội</w:t>
      </w:r>
      <w:r w:rsidRPr="00BF19ED">
        <w:rPr>
          <w:lang w:val="vi-VN"/>
        </w:rPr>
        <w:t xml:space="preserve"> trả lời để </w:t>
      </w:r>
      <w:r w:rsidRPr="00BF19ED">
        <w:t xml:space="preserve">Doanh nghiệp chế xuất Nitori Việt Nam </w:t>
      </w:r>
      <w:r w:rsidRPr="00BF19ED">
        <w:rPr>
          <w:lang w:val="vi-VN"/>
        </w:rPr>
        <w:t>được biết và thực hiện</w:t>
      </w:r>
      <w:r w:rsidRPr="00BF19ED">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BF19E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BF19ED" w:rsidRDefault="00A14022">
            <w:pPr>
              <w:spacing w:before="120"/>
            </w:pPr>
            <w:r w:rsidRPr="00BF19ED">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14022" w:rsidRDefault="00A14022" w:rsidP="00BF19ED">
            <w:pPr>
              <w:spacing w:before="120"/>
              <w:jc w:val="center"/>
              <w:rPr>
                <w:b/>
                <w:bCs/>
              </w:rPr>
            </w:pPr>
            <w:r w:rsidRPr="00BF19ED">
              <w:rPr>
                <w:b/>
                <w:bCs/>
              </w:rPr>
              <w:t xml:space="preserve">KT. CỤC TRƯỞNG </w:t>
            </w:r>
            <w:r w:rsidRPr="00BF19ED">
              <w:rPr>
                <w:b/>
                <w:bCs/>
              </w:rPr>
              <w:br/>
              <w:t>PHÓ CỤC TRƯỞNG</w:t>
            </w:r>
            <w:r w:rsidRPr="00BF19ED">
              <w:rPr>
                <w:b/>
                <w:bCs/>
              </w:rPr>
              <w:br/>
            </w:r>
          </w:p>
          <w:p w:rsidR="00000000" w:rsidRPr="00BF19ED" w:rsidRDefault="00A14022" w:rsidP="00BF19ED">
            <w:pPr>
              <w:spacing w:before="120"/>
              <w:jc w:val="center"/>
            </w:pPr>
            <w:r w:rsidRPr="00BF19ED">
              <w:rPr>
                <w:b/>
                <w:bCs/>
              </w:rPr>
              <w:br/>
            </w:r>
            <w:r w:rsidRPr="00BF19ED">
              <w:rPr>
                <w:b/>
                <w:bCs/>
              </w:rPr>
              <w:br/>
              <w:t>Nguyễn Tiến Trường</w:t>
            </w:r>
          </w:p>
        </w:tc>
      </w:tr>
    </w:tbl>
    <w:p w:rsidR="00BF19ED" w:rsidRPr="00BF19ED" w:rsidRDefault="00A14022">
      <w:pPr>
        <w:spacing w:before="120" w:after="280" w:afterAutospacing="1"/>
      </w:pPr>
      <w:r w:rsidRPr="00BF19ED">
        <w:t> </w:t>
      </w:r>
      <w:bookmarkStart w:id="0" w:name="_GoBack"/>
      <w:bookmarkEnd w:id="0"/>
    </w:p>
    <w:sectPr w:rsidR="00BF19ED" w:rsidRPr="00BF19ED" w:rsidSect="00BF19ED">
      <w:pgSz w:w="12240" w:h="15840"/>
      <w:pgMar w:top="1134" w:right="144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ED"/>
    <w:rsid w:val="00A14022"/>
    <w:rsid w:val="00BF19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559C7"/>
  <w15:chartTrackingRefBased/>
  <w15:docId w15:val="{8B200F32-9CBF-4D79-ACC7-E4A27611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cp:lastModifiedBy>Phuc</cp:lastModifiedBy>
  <cp:revision>4</cp:revision>
  <cp:lastPrinted>1601-01-01T00:00:00Z</cp:lastPrinted>
  <dcterms:created xsi:type="dcterms:W3CDTF">2022-11-09T03:36:00Z</dcterms:created>
  <dcterms:modified xsi:type="dcterms:W3CDTF">2022-11-09T03:36:00Z</dcterms:modified>
</cp:coreProperties>
</file>