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rsidRPr="005F398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5F3985" w:rsidRDefault="00E41A64">
            <w:pPr>
              <w:spacing w:before="120"/>
              <w:jc w:val="center"/>
            </w:pPr>
            <w:r w:rsidRPr="005F3985">
              <w:rPr>
                <w:lang w:val="vi-VN"/>
              </w:rPr>
              <w:t>TỔNG CỤC THUẾ</w:t>
            </w:r>
            <w:r w:rsidRPr="005F3985">
              <w:rPr>
                <w:lang w:val="vi-VN"/>
              </w:rPr>
              <w:br/>
            </w:r>
            <w:r w:rsidRPr="005F3985">
              <w:rPr>
                <w:b/>
                <w:bCs/>
                <w:lang w:val="vi-VN"/>
              </w:rPr>
              <w:t>CỤC THUẾ TP HÀ NỘI</w:t>
            </w:r>
            <w:r w:rsidRPr="005F3985">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5F3985" w:rsidRDefault="00E41A64">
            <w:pPr>
              <w:spacing w:before="120"/>
              <w:jc w:val="center"/>
            </w:pPr>
            <w:r w:rsidRPr="005F3985">
              <w:rPr>
                <w:b/>
                <w:bCs/>
                <w:lang w:val="vi-VN"/>
              </w:rPr>
              <w:t>CỘNG HÒA XÃ HỘI CHỦ NGHĨA VIỆT NAM</w:t>
            </w:r>
            <w:r w:rsidRPr="005F3985">
              <w:rPr>
                <w:b/>
                <w:bCs/>
                <w:lang w:val="vi-VN"/>
              </w:rPr>
              <w:br/>
              <w:t xml:space="preserve">Độc lập - Tự do - Hạnh phúc </w:t>
            </w:r>
            <w:r w:rsidRPr="005F3985">
              <w:rPr>
                <w:b/>
                <w:bCs/>
                <w:lang w:val="vi-VN"/>
              </w:rPr>
              <w:br/>
              <w:t>---------------</w:t>
            </w:r>
          </w:p>
        </w:tc>
      </w:tr>
      <w:tr w:rsidR="00000000" w:rsidRPr="005F398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5F3985" w:rsidRDefault="00E41A64">
            <w:pPr>
              <w:spacing w:before="120"/>
            </w:pPr>
            <w:r w:rsidRPr="005F3985">
              <w:rPr>
                <w:lang w:val="vi-VN"/>
              </w:rPr>
              <w:t>Số: 46417/CTHN-TTHT</w:t>
            </w:r>
            <w:r w:rsidRPr="005F3985">
              <w:rPr>
                <w:lang w:val="vi-VN"/>
              </w:rPr>
              <w:br/>
            </w:r>
            <w:r w:rsidRPr="005F3985">
              <w:rPr>
                <w:i/>
                <w:iCs/>
                <w:lang w:val="vi-VN"/>
              </w:rPr>
              <w:t>V/v khai thuế, nộp thuế thay cho hộ kinh doanh nộp thuế theo phương pháp khoán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5F3985" w:rsidRDefault="00E41A64">
            <w:pPr>
              <w:spacing w:before="120"/>
              <w:jc w:val="right"/>
            </w:pPr>
            <w:r w:rsidRPr="005F3985">
              <w:rPr>
                <w:i/>
                <w:iCs/>
              </w:rPr>
              <w:t>Hà Nội</w:t>
            </w:r>
            <w:r w:rsidRPr="005F3985">
              <w:rPr>
                <w:i/>
                <w:iCs/>
                <w:lang w:val="vi-VN"/>
              </w:rPr>
              <w:t xml:space="preserve">, ngày </w:t>
            </w:r>
            <w:r w:rsidRPr="005F3985">
              <w:rPr>
                <w:i/>
                <w:iCs/>
              </w:rPr>
              <w:t>15</w:t>
            </w:r>
            <w:r w:rsidRPr="005F3985">
              <w:rPr>
                <w:i/>
                <w:iCs/>
                <w:lang w:val="vi-VN"/>
              </w:rPr>
              <w:t xml:space="preserve"> tháng </w:t>
            </w:r>
            <w:r w:rsidRPr="005F3985">
              <w:rPr>
                <w:i/>
                <w:iCs/>
              </w:rPr>
              <w:t>11</w:t>
            </w:r>
            <w:r w:rsidRPr="005F3985">
              <w:rPr>
                <w:i/>
                <w:iCs/>
                <w:lang w:val="vi-VN"/>
              </w:rPr>
              <w:t xml:space="preserve"> năm </w:t>
            </w:r>
            <w:r w:rsidRPr="005F3985">
              <w:rPr>
                <w:i/>
                <w:iCs/>
              </w:rPr>
              <w:t>2021</w:t>
            </w:r>
          </w:p>
        </w:tc>
      </w:tr>
    </w:tbl>
    <w:p w:rsidR="00000000" w:rsidRPr="005F3985" w:rsidRDefault="00E41A64">
      <w:pPr>
        <w:spacing w:before="120" w:after="280" w:afterAutospacing="1"/>
      </w:pPr>
      <w:r w:rsidRPr="005F3985">
        <w:rPr>
          <w:lang w:val="vi-VN"/>
        </w:rPr>
        <w:t> </w:t>
      </w:r>
    </w:p>
    <w:p w:rsidR="00000000" w:rsidRPr="005F3985" w:rsidRDefault="00E41A64">
      <w:pPr>
        <w:spacing w:before="120" w:after="280" w:afterAutospacing="1"/>
        <w:jc w:val="center"/>
      </w:pPr>
      <w:r w:rsidRPr="005F3985">
        <w:rPr>
          <w:b/>
          <w:bCs/>
          <w:lang w:val="vi-VN"/>
        </w:rPr>
        <w:t>Kính gửi:</w:t>
      </w:r>
      <w:r w:rsidRPr="005F3985">
        <w:rPr>
          <w:lang w:val="vi-VN"/>
        </w:rPr>
        <w:t xml:space="preserve"> Chi nhánh Công ty TNHH Miwon Việt Nam tại Hà Nội</w:t>
      </w:r>
      <w:r w:rsidRPr="005F3985">
        <w:rPr>
          <w:lang w:val="vi-VN"/>
        </w:rPr>
        <w:br/>
      </w:r>
      <w:r w:rsidRPr="005F3985">
        <w:rPr>
          <w:i/>
          <w:iCs/>
          <w:lang w:val="vi-VN"/>
        </w:rPr>
        <w:t>(Đ/c: Tòa nhà Miwon, Số 22 Đường Phạm Hùng, Phường Mai Dịch, Quận Cầu Giấy, TP. Hà Nội; MST: 2600109933-001)</w:t>
      </w:r>
    </w:p>
    <w:p w:rsidR="00000000" w:rsidRPr="005F3985" w:rsidRDefault="00E41A64">
      <w:pPr>
        <w:spacing w:before="120" w:after="280" w:afterAutospacing="1"/>
      </w:pPr>
      <w:r w:rsidRPr="005F3985">
        <w:rPr>
          <w:lang w:val="vi-VN"/>
        </w:rPr>
        <w:t>Trả lời công văn số 0111/MWHN/Thuế TNCN ngày 01/11/2021 của Chi nhánh Công ty TNHH Miw</w:t>
      </w:r>
      <w:r w:rsidRPr="005F3985">
        <w:rPr>
          <w:lang w:val="vi-VN"/>
        </w:rPr>
        <w:t>on Việt Nam tại Hà Nội (sau đây gọi tắt là Chi nhánh Công ty) hỏi về việc khai thuế, nộp thuế thay cho hộ kinh doanh nộp thuế theo phương pháp khoán, Cục Thuế TP Hà Nội có ý kiến như sau:</w:t>
      </w:r>
    </w:p>
    <w:p w:rsidR="00000000" w:rsidRPr="005F3985" w:rsidRDefault="00E41A64">
      <w:pPr>
        <w:spacing w:before="120" w:after="280" w:afterAutospacing="1"/>
      </w:pPr>
      <w:r w:rsidRPr="005F3985">
        <w:rPr>
          <w:lang w:val="vi-VN"/>
        </w:rPr>
        <w:t xml:space="preserve">- Căn cứ Thông tư số 40/2021/TT-BTC ngày 01/6/2021 của Bộ Tài chính </w:t>
      </w:r>
      <w:r w:rsidRPr="005F3985">
        <w:rPr>
          <w:lang w:val="vi-VN"/>
        </w:rPr>
        <w:t>hướng dẫn thuế giá trị gia tăng, thuế thu nhập cá nhân và quản lý thuế đối vớ</w:t>
      </w:r>
      <w:bookmarkStart w:id="0" w:name="_GoBack"/>
      <w:bookmarkEnd w:id="0"/>
      <w:r w:rsidRPr="005F3985">
        <w:rPr>
          <w:lang w:val="vi-VN"/>
        </w:rPr>
        <w:t>i hộ kinh doanh, cá nhân kinh doanh:</w:t>
      </w:r>
    </w:p>
    <w:p w:rsidR="00000000" w:rsidRPr="005F3985" w:rsidRDefault="00E41A64">
      <w:pPr>
        <w:spacing w:before="120" w:after="280" w:afterAutospacing="1"/>
      </w:pPr>
      <w:r w:rsidRPr="005F3985">
        <w:rPr>
          <w:lang w:val="vi-VN"/>
        </w:rPr>
        <w:t>+ Tại Điều 8 quy định phương pháp tính thuế đối với trường hợp tổ chức, cá nhân khai thuế thay, nộp thuế thay cho cá nhân:</w:t>
      </w:r>
    </w:p>
    <w:p w:rsidR="00000000" w:rsidRPr="005F3985" w:rsidRDefault="00E41A64">
      <w:pPr>
        <w:spacing w:before="120" w:after="280" w:afterAutospacing="1"/>
      </w:pPr>
      <w:r w:rsidRPr="005F3985">
        <w:rPr>
          <w:i/>
          <w:iCs/>
          <w:lang w:val="vi-VN"/>
        </w:rPr>
        <w:t>“1. Tổ chức, cá nhâ</w:t>
      </w:r>
      <w:r w:rsidRPr="005F3985">
        <w:rPr>
          <w:i/>
          <w:iCs/>
          <w:lang w:val="vi-VN"/>
        </w:rPr>
        <w:t>n khai thuế thay, nộp thuế thay cho cá nhân trong các trường hợp sau đây:</w:t>
      </w:r>
    </w:p>
    <w:p w:rsidR="00000000" w:rsidRPr="005F3985" w:rsidRDefault="00E41A64">
      <w:pPr>
        <w:spacing w:before="120" w:after="280" w:afterAutospacing="1"/>
      </w:pPr>
      <w:r w:rsidRPr="005F3985">
        <w:rPr>
          <w:i/>
          <w:iCs/>
          <w:lang w:val="vi-VN"/>
        </w:rPr>
        <w:t>...c) Tổ chức chi trả các khoản thưởng, hỗ trợ đạt doanh số, khuyến mại, chiết khấu thương mại, chiết khấu thanh toán, chi hỗ trợ bằng tiền hoặc không bằng tiền, các khoản bồi thường</w:t>
      </w:r>
      <w:r w:rsidRPr="005F3985">
        <w:rPr>
          <w:i/>
          <w:iCs/>
          <w:lang w:val="vi-VN"/>
        </w:rPr>
        <w:t xml:space="preserve"> vi phạm hợp đồng, bồi thường khác cho hộ khoán;”</w:t>
      </w:r>
    </w:p>
    <w:p w:rsidR="00000000" w:rsidRPr="005F3985" w:rsidRDefault="00E41A64">
      <w:pPr>
        <w:spacing w:before="120" w:after="280" w:afterAutospacing="1"/>
      </w:pPr>
      <w:r w:rsidRPr="005F3985">
        <w:rPr>
          <w:lang w:val="vi-VN"/>
        </w:rPr>
        <w:t>+ Tại Điều 20 quy định hiệu lực thi hành:</w:t>
      </w:r>
    </w:p>
    <w:p w:rsidR="00000000" w:rsidRPr="005F3985" w:rsidRDefault="00E41A64">
      <w:pPr>
        <w:spacing w:before="120" w:after="280" w:afterAutospacing="1"/>
      </w:pPr>
      <w:r w:rsidRPr="005F3985">
        <w:rPr>
          <w:i/>
          <w:iCs/>
          <w:lang w:val="vi-VN"/>
        </w:rPr>
        <w:t>“1. Thông tư này có hiệu lực kể từ ngày 01 tháng 8 năm 2021.”</w:t>
      </w:r>
    </w:p>
    <w:p w:rsidR="00000000" w:rsidRPr="005F3985" w:rsidRDefault="00E41A64">
      <w:pPr>
        <w:spacing w:before="120" w:after="280" w:afterAutospacing="1"/>
      </w:pPr>
      <w:r w:rsidRPr="005F3985">
        <w:rPr>
          <w:lang w:val="vi-VN"/>
        </w:rPr>
        <w:t>- Căn cứ Phụ lục I Danh mục ngành nghề tính thuế GTGT, thuế TNCN theo tỷ lệ % trên doanh thu đ</w:t>
      </w:r>
      <w:r w:rsidRPr="005F3985">
        <w:rPr>
          <w:lang w:val="en-GB"/>
        </w:rPr>
        <w:t>ố</w:t>
      </w:r>
      <w:r w:rsidRPr="005F3985">
        <w:rPr>
          <w:lang w:val="vi-VN"/>
        </w:rPr>
        <w:t>i với h</w:t>
      </w:r>
      <w:r w:rsidRPr="005F3985">
        <w:rPr>
          <w:lang w:val="vi-VN"/>
        </w:rPr>
        <w:t>ộ kinh doanh, cá nhân kinh doanh (Ban hành kèm theo Thông tư số 40/2021/TT-BTC) hướng dẫn:</w:t>
      </w:r>
    </w:p>
    <w:p w:rsidR="00000000" w:rsidRPr="005F3985" w:rsidRDefault="00E41A64">
      <w:pPr>
        <w:spacing w:before="120" w:after="280" w:afterAutospacing="1"/>
      </w:pPr>
      <w:r w:rsidRPr="005F3985">
        <w:rPr>
          <w:i/>
          <w:iCs/>
          <w:lang w:val="vi-VN"/>
        </w:rPr>
        <w:t>“Khoản thưởng, hỗ trợ đạt doanh số, khuyến mại, chiết khấu thương mại, chiết khấu thanh toán, chi hỗ trợ bằng tiền hoặc không bằng tiền cho hộ khoán nộp thuế GTGT 1%</w:t>
      </w:r>
      <w:r w:rsidRPr="005F3985">
        <w:rPr>
          <w:i/>
          <w:iCs/>
          <w:lang w:val="vi-VN"/>
        </w:rPr>
        <w:t>, thuế TNCN 0,5%.”</w:t>
      </w:r>
    </w:p>
    <w:p w:rsidR="00000000" w:rsidRPr="005F3985" w:rsidRDefault="00E41A64">
      <w:pPr>
        <w:spacing w:before="120" w:after="280" w:afterAutospacing="1"/>
      </w:pPr>
      <w:r w:rsidRPr="005F3985">
        <w:rPr>
          <w:lang w:val="vi-VN"/>
        </w:rPr>
        <w:t>Căn cứ các quy định trên, Cục Thuế TP Hà Nội hướng dẫn đơn vị về nguyên tắc như sau:</w:t>
      </w:r>
    </w:p>
    <w:p w:rsidR="00000000" w:rsidRPr="005F3985" w:rsidRDefault="00E41A64">
      <w:pPr>
        <w:spacing w:before="120" w:after="280" w:afterAutospacing="1"/>
      </w:pPr>
      <w:r w:rsidRPr="005F3985">
        <w:rPr>
          <w:lang w:val="vi-VN"/>
        </w:rPr>
        <w:t>Trường hợp công ty chi trả các khoản thưởng, hỗ trợ đạt doanh số, khuyến mại, chiết khấu thương mại, chiết khấu thanh toán, chi hỗ trợ bằng tiền hoặc kh</w:t>
      </w:r>
      <w:r w:rsidRPr="005F3985">
        <w:rPr>
          <w:lang w:val="vi-VN"/>
        </w:rPr>
        <w:t xml:space="preserve">ông bằng tiền, các khoản bồi </w:t>
      </w:r>
      <w:r w:rsidRPr="005F3985">
        <w:rPr>
          <w:lang w:val="vi-VN"/>
        </w:rPr>
        <w:lastRenderedPageBreak/>
        <w:t>thường vi phạm hợp đồng, bồi thường khác cho hộ khoán từ ngày 01/08/2021 thì công ty có trách nhiệm khai thuế, nộp thuế thay với thuế suất thuế GTGT 1%, thuế TNCN 0,5% theo quy định tại Điều 8 Thông tư số 40/2021/TT-BTC ngày 01</w:t>
      </w:r>
      <w:r w:rsidRPr="005F3985">
        <w:rPr>
          <w:lang w:val="vi-VN"/>
        </w:rPr>
        <w:t>/6/2021 của Bộ Tài chính.</w:t>
      </w:r>
    </w:p>
    <w:p w:rsidR="00000000" w:rsidRPr="005F3985" w:rsidRDefault="00E41A64">
      <w:pPr>
        <w:spacing w:before="120" w:after="280" w:afterAutospacing="1"/>
      </w:pPr>
      <w:r w:rsidRPr="005F3985">
        <w:rPr>
          <w:lang w:val="vi-VN"/>
        </w:rPr>
        <w:t xml:space="preserve">Trong quá trình thực hiện chính sách thuế, trường hợp còn vướng mắc, Chi nhánh Công ty có thể tham khảo các văn bản hướng dẫn của Cục Thuế TP Hà Nội được đăng tải trên http://hanoi.gdt.gov.vn hoặc liên hệ với Phòng Thanh tra-Kiểm </w:t>
      </w:r>
      <w:r w:rsidRPr="005F3985">
        <w:rPr>
          <w:lang w:val="vi-VN"/>
        </w:rPr>
        <w:t>tra số 1 để được hỗ trợ giải quyết.</w:t>
      </w:r>
    </w:p>
    <w:p w:rsidR="00000000" w:rsidRPr="005F3985" w:rsidRDefault="00E41A64">
      <w:pPr>
        <w:spacing w:before="120" w:after="280" w:afterAutospacing="1"/>
      </w:pPr>
      <w:r w:rsidRPr="005F3985">
        <w:rPr>
          <w:lang w:val="vi-VN"/>
        </w:rPr>
        <w:t>Cục Thuế TP Hà Nội trả lời để Chi nhánh Công ty TNHH Miwon Việt Nam tại Hà Nội được biết và thực hiện.</w:t>
      </w:r>
      <w:r w:rsidRPr="005F3985">
        <w:rPr>
          <w:lang w:val="en-GB"/>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5F398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5F3985" w:rsidRDefault="00E41A64">
            <w:pPr>
              <w:spacing w:before="120"/>
            </w:pPr>
            <w:r w:rsidRPr="005F3985">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5F3985" w:rsidRDefault="00E41A64">
            <w:pPr>
              <w:spacing w:before="120"/>
              <w:jc w:val="center"/>
            </w:pPr>
            <w:r w:rsidRPr="005F3985">
              <w:rPr>
                <w:b/>
                <w:bCs/>
              </w:rPr>
              <w:t>KT. CỤC TRƯỞNG</w:t>
            </w:r>
            <w:r w:rsidRPr="005F3985">
              <w:rPr>
                <w:b/>
                <w:bCs/>
              </w:rPr>
              <w:br/>
              <w:t xml:space="preserve">PHÓ </w:t>
            </w:r>
            <w:r w:rsidRPr="005F3985">
              <w:rPr>
                <w:b/>
                <w:bCs/>
              </w:rPr>
              <w:t>CỤC TRƯỞNG</w:t>
            </w:r>
            <w:r w:rsidRPr="005F3985">
              <w:rPr>
                <w:b/>
                <w:bCs/>
              </w:rPr>
              <w:br/>
            </w:r>
            <w:r w:rsidRPr="005F3985">
              <w:rPr>
                <w:b/>
                <w:bCs/>
              </w:rPr>
              <w:br/>
            </w:r>
            <w:r w:rsidRPr="005F3985">
              <w:rPr>
                <w:b/>
                <w:bCs/>
              </w:rPr>
              <w:br/>
            </w:r>
            <w:r w:rsidRPr="005F3985">
              <w:rPr>
                <w:b/>
                <w:bCs/>
              </w:rPr>
              <w:br/>
            </w:r>
            <w:r w:rsidRPr="005F3985">
              <w:rPr>
                <w:b/>
                <w:bCs/>
              </w:rPr>
              <w:br/>
              <w:t>Nguyễn Tiến Trường</w:t>
            </w:r>
          </w:p>
        </w:tc>
      </w:tr>
    </w:tbl>
    <w:p w:rsidR="00E41A64" w:rsidRPr="005F3985" w:rsidRDefault="00E41A64">
      <w:pPr>
        <w:spacing w:after="280" w:afterAutospacing="1"/>
      </w:pPr>
      <w:r w:rsidRPr="005F3985">
        <w:rPr>
          <w:lang w:val="en-GB"/>
        </w:rPr>
        <w:t> </w:t>
      </w:r>
    </w:p>
    <w:sectPr w:rsidR="00E41A64" w:rsidRPr="005F39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85"/>
    <w:rsid w:val="005F3985"/>
    <w:rsid w:val="00E41A6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445E5B"/>
  <w15:chartTrackingRefBased/>
  <w15:docId w15:val="{F78EE239-8814-42CB-90F9-DE8125A7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dc:creator>
  <cp:keywords/>
  <cp:lastModifiedBy>Phuc</cp:lastModifiedBy>
  <cp:revision>2</cp:revision>
  <cp:lastPrinted>1601-01-01T00:00:00Z</cp:lastPrinted>
  <dcterms:created xsi:type="dcterms:W3CDTF">2021-11-24T04:03:00Z</dcterms:created>
  <dcterms:modified xsi:type="dcterms:W3CDTF">2021-11-24T04:03:00Z</dcterms:modified>
</cp:coreProperties>
</file>