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30FB4" w:rsidRPr="00EF71C1">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30FB4" w:rsidRPr="00EF71C1" w:rsidRDefault="00EE768C">
            <w:pPr>
              <w:spacing w:before="120"/>
              <w:jc w:val="center"/>
            </w:pPr>
            <w:r w:rsidRPr="00EF71C1">
              <w:rPr>
                <w:lang w:val="vi-VN"/>
              </w:rPr>
              <w:t>TỔNG CỤC THUẾ</w:t>
            </w:r>
            <w:r w:rsidRPr="00EF71C1">
              <w:br/>
            </w:r>
            <w:r w:rsidRPr="00EF71C1">
              <w:rPr>
                <w:b/>
                <w:bCs/>
                <w:lang w:val="vi-VN"/>
              </w:rPr>
              <w:t>CỤC THUẾ TP HÀ NỘI</w:t>
            </w:r>
            <w:r w:rsidRPr="00EF71C1">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30FB4" w:rsidRPr="00EF71C1" w:rsidRDefault="00EE768C">
            <w:pPr>
              <w:spacing w:before="120"/>
              <w:jc w:val="center"/>
            </w:pPr>
            <w:r w:rsidRPr="00EF71C1">
              <w:rPr>
                <w:b/>
                <w:bCs/>
                <w:lang w:val="vi-VN"/>
              </w:rPr>
              <w:t>CỘNG HÒA XÃ HỘI CHỦ NGHĨA VIỆT NAM</w:t>
            </w:r>
            <w:r w:rsidRPr="00EF71C1">
              <w:rPr>
                <w:b/>
                <w:bCs/>
                <w:lang w:val="vi-VN"/>
              </w:rPr>
              <w:br/>
              <w:t>Độc lập - Tự do - Hạnh phúc</w:t>
            </w:r>
            <w:r w:rsidRPr="00EF71C1">
              <w:rPr>
                <w:b/>
                <w:bCs/>
                <w:lang w:val="vi-VN"/>
              </w:rPr>
              <w:br/>
              <w:t>---------------</w:t>
            </w:r>
          </w:p>
        </w:tc>
      </w:tr>
      <w:tr w:rsidR="00930FB4" w:rsidRPr="00EF71C1">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30FB4" w:rsidRPr="00EF71C1" w:rsidRDefault="00EE768C">
            <w:pPr>
              <w:spacing w:before="120"/>
            </w:pPr>
            <w:r w:rsidRPr="00EF71C1">
              <w:rPr>
                <w:lang w:val="vi-VN"/>
              </w:rPr>
              <w:t>Số: 41219/CTHN-TTHT</w:t>
            </w:r>
            <w:r w:rsidRPr="00EF71C1">
              <w:rPr>
                <w:lang w:val="vi-VN"/>
              </w:rPr>
              <w:br/>
            </w:r>
            <w:r w:rsidRPr="00EF71C1">
              <w:rPr>
                <w:i/>
                <w:iCs/>
                <w:lang w:val="vi-VN"/>
              </w:rPr>
              <w:t>V/v khấu trừ thuế TNCN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30FB4" w:rsidRPr="00EF71C1" w:rsidRDefault="00EE768C">
            <w:pPr>
              <w:spacing w:before="120"/>
              <w:jc w:val="right"/>
            </w:pPr>
            <w:r w:rsidRPr="00EF71C1">
              <w:rPr>
                <w:i/>
                <w:iCs/>
                <w:lang w:val="vi-VN"/>
              </w:rPr>
              <w:t>Hà Nội, ngày 21 tháng 10 năm 2021</w:t>
            </w:r>
          </w:p>
        </w:tc>
      </w:tr>
    </w:tbl>
    <w:p w:rsidR="00930FB4" w:rsidRPr="00EF71C1" w:rsidRDefault="00EE768C">
      <w:pPr>
        <w:spacing w:before="120" w:after="280" w:afterAutospacing="1"/>
      </w:pPr>
      <w:r w:rsidRPr="00EF71C1">
        <w:t> </w:t>
      </w:r>
    </w:p>
    <w:p w:rsidR="00930FB4" w:rsidRPr="00EF71C1" w:rsidRDefault="00EE768C">
      <w:pPr>
        <w:spacing w:before="120" w:after="280" w:afterAutospacing="1"/>
        <w:jc w:val="center"/>
      </w:pPr>
      <w:r w:rsidRPr="00EF71C1">
        <w:rPr>
          <w:b/>
          <w:bCs/>
          <w:lang w:val="vi-VN"/>
        </w:rPr>
        <w:t>Kính gửi:</w:t>
      </w:r>
      <w:r w:rsidRPr="00EF71C1">
        <w:rPr>
          <w:lang w:val="vi-VN"/>
        </w:rPr>
        <w:t xml:space="preserve"> Công ty </w:t>
      </w:r>
      <w:r w:rsidRPr="00EF71C1">
        <w:t>Cổ phần</w:t>
      </w:r>
      <w:r w:rsidRPr="00EF71C1">
        <w:rPr>
          <w:lang w:val="vi-VN"/>
        </w:rPr>
        <w:t xml:space="preserve"> Giao Hàng Tiết Kiệm (GHTK)</w:t>
      </w:r>
      <w:r w:rsidRPr="00EF71C1">
        <w:br/>
      </w:r>
      <w:r w:rsidRPr="00EF71C1">
        <w:rPr>
          <w:i/>
          <w:iCs/>
          <w:lang w:val="vi-VN"/>
        </w:rPr>
        <w:t xml:space="preserve">(Địa chỉ: Tòa nhà VTV, </w:t>
      </w:r>
      <w:r w:rsidRPr="00EF71C1">
        <w:rPr>
          <w:i/>
          <w:iCs/>
        </w:rPr>
        <w:t>Số</w:t>
      </w:r>
      <w:r w:rsidRPr="00EF71C1">
        <w:rPr>
          <w:i/>
          <w:iCs/>
          <w:lang w:val="vi-VN"/>
        </w:rPr>
        <w:t xml:space="preserve"> 8 Phạm Hùng, phường Mễ Trì, quận Nam Từ Liêm, Thành phố Hà Nội, Việt Nam - MST: 0106</w:t>
      </w:r>
      <w:r w:rsidRPr="00EF71C1">
        <w:rPr>
          <w:i/>
          <w:iCs/>
        </w:rPr>
        <w:t>1</w:t>
      </w:r>
      <w:r w:rsidRPr="00EF71C1">
        <w:rPr>
          <w:i/>
          <w:iCs/>
          <w:lang w:val="vi-VN"/>
        </w:rPr>
        <w:t>81807)</w:t>
      </w:r>
    </w:p>
    <w:p w:rsidR="00930FB4" w:rsidRPr="00EF71C1" w:rsidRDefault="00EE768C">
      <w:pPr>
        <w:spacing w:before="120" w:after="280" w:afterAutospacing="1"/>
      </w:pPr>
      <w:r w:rsidRPr="00EF71C1">
        <w:rPr>
          <w:lang w:val="vi-VN"/>
        </w:rPr>
        <w:t>Cục Thuế TP Hà Nội nhận được Phiếu chuyển số 897/PC-TCT của Tổng cục Thuế chuyển công văn số 09/CV-GHTK ngày 28/09/2021 của Công ty Cổ phần Giao Hàng Tiết Kiệm (sau đây gọi tắt là Công ty) hỏi về việc khấu trừ thuế TNCN của người lao động. Cục thuế TP Hà Nội có ý kiến như sau:</w:t>
      </w:r>
    </w:p>
    <w:p w:rsidR="00930FB4" w:rsidRPr="00EF71C1" w:rsidRDefault="00EE768C">
      <w:pPr>
        <w:spacing w:before="120" w:after="280" w:afterAutospacing="1"/>
      </w:pPr>
      <w:r w:rsidRPr="00EF71C1">
        <w:rPr>
          <w:lang w:val="vi-VN"/>
        </w:rPr>
        <w:t xml:space="preserve">- Căn cứ Thông tư </w:t>
      </w:r>
      <w:hyperlink r:id="rId7" w:history="1">
        <w:r w:rsidRPr="004030D3">
          <w:rPr>
            <w:rStyle w:val="Hyperlink"/>
            <w:lang w:val="vi-VN"/>
          </w:rPr>
          <w:t>111/2013/TT-BTC</w:t>
        </w:r>
      </w:hyperlink>
      <w:r w:rsidRPr="00EF71C1">
        <w:rPr>
          <w:lang w:val="vi-VN"/>
        </w:rPr>
        <w:t xml:space="preserve"> ngày 15/08/2013 của Bô Tài Chính hướng dẫn thực hiện Luật thuế thu nhập cá nhân, Luật sửa đổi, bổ sung một số điều của Luật thuế thu nhập cá nhân và Nghị định số </w:t>
      </w:r>
      <w:hyperlink r:id="rId8" w:history="1">
        <w:r w:rsidRPr="004030D3">
          <w:rPr>
            <w:rStyle w:val="Hyperlink"/>
            <w:lang w:val="vi-VN"/>
          </w:rPr>
          <w:t>65/2013/NĐ-CP</w:t>
        </w:r>
      </w:hyperlink>
      <w:r w:rsidRPr="00EF71C1">
        <w:rPr>
          <w:lang w:val="vi-VN"/>
        </w:rPr>
        <w:t xml:space="preserve"> của Chính phủ quy định chi tiết một số điều của Luật thuế thu nhập cá nhân và Luật sửa đổi, bổ sung một số điều của Luật thuế thu nhập cá nhân:</w:t>
      </w:r>
    </w:p>
    <w:p w:rsidR="00930FB4" w:rsidRPr="00EF71C1" w:rsidRDefault="00EE768C">
      <w:pPr>
        <w:spacing w:before="120" w:after="280" w:afterAutospacing="1"/>
      </w:pPr>
      <w:r w:rsidRPr="00EF71C1">
        <w:rPr>
          <w:lang w:val="vi-VN"/>
        </w:rPr>
        <w:t>+ Tại khoản 2 Điều 2 quy định các khoản thu nhập chịu thuế:</w:t>
      </w:r>
    </w:p>
    <w:p w:rsidR="00930FB4" w:rsidRPr="00EF71C1" w:rsidRDefault="00EE768C">
      <w:pPr>
        <w:spacing w:before="120" w:after="280" w:afterAutospacing="1"/>
      </w:pPr>
      <w:r w:rsidRPr="00EF71C1">
        <w:rPr>
          <w:i/>
          <w:iCs/>
          <w:lang w:val="vi-VN"/>
        </w:rPr>
        <w:t>“2. Thu nhập từ tiền lương, tiền công</w:t>
      </w:r>
    </w:p>
    <w:p w:rsidR="00930FB4" w:rsidRPr="00EF71C1" w:rsidRDefault="00EE768C">
      <w:pPr>
        <w:spacing w:before="120" w:after="280" w:afterAutospacing="1"/>
      </w:pPr>
      <w:r w:rsidRPr="00EF71C1">
        <w:rPr>
          <w:i/>
          <w:iCs/>
          <w:lang w:val="vi-VN"/>
        </w:rPr>
        <w:t>Thu nhập từ tiền lương, tiền công là thu nhập người lao động nhận được từ người sử dụng lao động, bao gồm:</w:t>
      </w:r>
    </w:p>
    <w:p w:rsidR="00930FB4" w:rsidRPr="00EF71C1" w:rsidRDefault="00EE768C">
      <w:pPr>
        <w:spacing w:before="120" w:after="280" w:afterAutospacing="1"/>
      </w:pPr>
      <w:r w:rsidRPr="00EF71C1">
        <w:rPr>
          <w:i/>
          <w:iCs/>
          <w:lang w:val="vi-VN"/>
        </w:rPr>
        <w:t>a) Tiền lương, tiền công và các khoản có tính chất tiền lương, tiền công dưới các hình thức bằng tiền hoặc không bằng tiền.</w:t>
      </w:r>
    </w:p>
    <w:p w:rsidR="00930FB4" w:rsidRPr="00EF71C1" w:rsidRDefault="00EE768C">
      <w:pPr>
        <w:spacing w:before="120" w:after="280" w:afterAutospacing="1"/>
      </w:pPr>
      <w:r w:rsidRPr="00EF71C1">
        <w:rPr>
          <w:i/>
          <w:iCs/>
          <w:lang w:val="vi-VN"/>
        </w:rPr>
        <w:t>...c) Tiền thù lao nhận được dưới các hình thức như: tiền hoa hồng đại lý bán hàng hóa, tiền hoa hồng môi giới; tiền tham gia các đề tài nghiên cứu khoa học, kỹ thuật; tiền tham gia các dự án, đề án; tiền nhuận bút theo quy định của pháp luật về chế độ nhuận bút; tiền tham gia các hoạt động giảng dạy; tiền tham gia biểu diễn văn hoá, nghệ thuật, thể dục, thể thao; tiền dịch vụ quảng cáo; tiền dịch vụ khác, thù lao khác.</w:t>
      </w:r>
    </w:p>
    <w:p w:rsidR="00930FB4" w:rsidRPr="00EF71C1" w:rsidRDefault="00EE768C">
      <w:pPr>
        <w:spacing w:before="120" w:after="280" w:afterAutospacing="1"/>
      </w:pPr>
      <w:r w:rsidRPr="00EF71C1">
        <w:rPr>
          <w:i/>
          <w:iCs/>
        </w:rPr>
        <w:t>…”</w:t>
      </w:r>
    </w:p>
    <w:p w:rsidR="00930FB4" w:rsidRPr="00EF71C1" w:rsidRDefault="00EE768C">
      <w:pPr>
        <w:spacing w:before="120" w:after="280" w:afterAutospacing="1"/>
      </w:pPr>
      <w:r w:rsidRPr="00EF71C1">
        <w:rPr>
          <w:lang w:val="vi-VN"/>
        </w:rPr>
        <w:t>+ Tại điểm i, khoản 1 Điều 25 quy định về khấu trừ thuế:</w:t>
      </w:r>
    </w:p>
    <w:p w:rsidR="00930FB4" w:rsidRPr="00EF71C1" w:rsidRDefault="00EE768C">
      <w:pPr>
        <w:spacing w:before="120" w:after="280" w:afterAutospacing="1"/>
      </w:pPr>
      <w:r w:rsidRPr="00EF71C1">
        <w:rPr>
          <w:i/>
          <w:iCs/>
          <w:lang w:val="vi-VN"/>
        </w:rPr>
        <w:t>“1. Khấu trừ thuế</w:t>
      </w:r>
    </w:p>
    <w:p w:rsidR="00930FB4" w:rsidRPr="00EF71C1" w:rsidRDefault="00EE768C">
      <w:pPr>
        <w:spacing w:before="120" w:after="280" w:afterAutospacing="1"/>
      </w:pPr>
      <w:r w:rsidRPr="00EF71C1">
        <w:rPr>
          <w:i/>
          <w:iCs/>
          <w:lang w:val="vi-VN"/>
        </w:rPr>
        <w:t>Khấu trừ thuế là việc tổ chức, cá nhân trả thu nhập thực hiện tính trừ số thuế phải nộp vào thu nhập của người nộp thuế trước khi trả thu nhập, cụ thể như sau:</w:t>
      </w:r>
    </w:p>
    <w:p w:rsidR="00930FB4" w:rsidRPr="00EF71C1" w:rsidRDefault="00EE768C">
      <w:pPr>
        <w:spacing w:before="120" w:after="280" w:afterAutospacing="1"/>
      </w:pPr>
      <w:r w:rsidRPr="00EF71C1">
        <w:rPr>
          <w:i/>
          <w:iCs/>
          <w:lang w:val="vi-VN"/>
        </w:rPr>
        <w:lastRenderedPageBreak/>
        <w:t>...i) Khấu trừ thuế đối với một số trường hợp khác:</w:t>
      </w:r>
    </w:p>
    <w:p w:rsidR="00930FB4" w:rsidRPr="00EF71C1" w:rsidRDefault="00EE768C">
      <w:pPr>
        <w:spacing w:before="120" w:after="280" w:afterAutospacing="1"/>
      </w:pPr>
      <w:r w:rsidRPr="00EF71C1">
        <w:rPr>
          <w:i/>
          <w:iCs/>
          <w:lang w:val="vi-VN"/>
        </w:rPr>
        <w:t>Các tổ chức, cá nhân trả tiền công, tiền thù lao, tiền chi khác cho cá nhân cư trú không ký hợp đồng lao động (theo hướng dẫn tại điểm c, d, khoản 2, Điều 2 Thông tư này) hoặc ký hợp đồng lao động dưới ba (03) tháng có tổng mức trả thu nhập từ hai triệu (2.000.000) đồng/lần trở lên thì phải khấu trừ thuế theo mức 10% trên thu nhập trước khi trả cho cá nhân.</w:t>
      </w:r>
    </w:p>
    <w:p w:rsidR="00930FB4" w:rsidRPr="00EF71C1" w:rsidRDefault="00EE768C">
      <w:pPr>
        <w:spacing w:before="120" w:after="280" w:afterAutospacing="1"/>
      </w:pPr>
      <w:r w:rsidRPr="00EF71C1">
        <w:rPr>
          <w:i/>
          <w:iCs/>
          <w:lang w:val="vi-VN"/>
        </w:rPr>
        <w:t>Trường hợp cá nhân chỉ có duy nhất thu nhập thuộc đối tượng phải khấu trừ thuế theo tỷ lệ nêu trên nhưng ước tính tổng mức thu nhập chịu thuế của cá nhân sau khi trừ gia cảnh chưa đến mức phải nộp thuế thì cá nhân có thu nhập làm cam kết (theo mẫu ban hành kèm theo văn bản hướng dẫn về quản lý thuế) gửi tổ chức trả thu nhập để tổ chức trả thu nhập làm căn cứ tạm thời chưa khấu trừ thuế thu nhập cá nhân.</w:t>
      </w:r>
    </w:p>
    <w:p w:rsidR="00930FB4" w:rsidRPr="00EF71C1" w:rsidRDefault="00EE768C">
      <w:pPr>
        <w:spacing w:before="120" w:after="280" w:afterAutospacing="1"/>
      </w:pPr>
      <w:r w:rsidRPr="00EF71C1">
        <w:rPr>
          <w:i/>
          <w:iCs/>
          <w:lang w:val="vi-VN"/>
        </w:rPr>
        <w:t>Căn cứ vào cam kết của người nhận thu nhập, tổ chức trả thu nhập không khấu trừ thuế. Kết thúc năm tính thuế, tổ chức trả thu nhập vẫn phải tổng hợp danh sách và thu nhập của những cá nhân chưa đến mức khấu trừ thuế (vào mẫu ban hành kèm theo văn bản hướng dẫn về quản lý thuế) và nộp cho cơ quan thuế. Cá nhân làm cam kết phải chịu trách nhiệm về bản cam kết của mình, trường hợp phát hiện có sự gian lận sẽ bị xử lý theo quy định của Luật quản lý thuế.</w:t>
      </w:r>
    </w:p>
    <w:p w:rsidR="00930FB4" w:rsidRPr="00EF71C1" w:rsidRDefault="00EE768C">
      <w:pPr>
        <w:spacing w:before="120" w:after="280" w:afterAutospacing="1"/>
      </w:pPr>
      <w:r w:rsidRPr="00EF71C1">
        <w:rPr>
          <w:i/>
          <w:iCs/>
          <w:lang w:val="vi-VN"/>
        </w:rPr>
        <w:t>Cá nhân làm cam kết theo hướng dẫn tại điểm này phải đăng ký thuế và có mã số thuế tại thời điểm cam kết.</w:t>
      </w:r>
    </w:p>
    <w:p w:rsidR="00930FB4" w:rsidRPr="00EF71C1" w:rsidRDefault="00EE768C">
      <w:pPr>
        <w:spacing w:before="120" w:after="280" w:afterAutospacing="1"/>
      </w:pPr>
      <w:r w:rsidRPr="00EF71C1">
        <w:rPr>
          <w:i/>
          <w:iCs/>
          <w:lang w:val="vi-VN"/>
        </w:rPr>
        <w:t>…”</w:t>
      </w:r>
    </w:p>
    <w:p w:rsidR="00930FB4" w:rsidRPr="00EF71C1" w:rsidRDefault="00EE768C">
      <w:pPr>
        <w:spacing w:before="120" w:after="280" w:afterAutospacing="1"/>
      </w:pPr>
      <w:r w:rsidRPr="00EF71C1">
        <w:rPr>
          <w:lang w:val="vi-VN"/>
        </w:rPr>
        <w:t xml:space="preserve">- Căn cứ khoản 1 Điều 2 Thông tư </w:t>
      </w:r>
      <w:hyperlink r:id="rId9" w:history="1">
        <w:r w:rsidRPr="004030D3">
          <w:rPr>
            <w:rStyle w:val="Hyperlink"/>
            <w:lang w:val="vi-VN"/>
          </w:rPr>
          <w:t>40/2021/TT-BTC</w:t>
        </w:r>
      </w:hyperlink>
      <w:r w:rsidRPr="00EF71C1">
        <w:rPr>
          <w:lang w:val="vi-VN"/>
        </w:rPr>
        <w:t xml:space="preserve"> ngày 01/6/2021 của Bộ Tài Chính hướng dẫn thuế giá trị gia tăng, thuế thu nhập cá nhân và quản lý thuế đối với hộ kinh doanh, cá nhân kinh doanh quy định:</w:t>
      </w:r>
    </w:p>
    <w:p w:rsidR="00930FB4" w:rsidRPr="00EF71C1" w:rsidRDefault="00EE768C">
      <w:pPr>
        <w:spacing w:before="120" w:after="280" w:afterAutospacing="1"/>
      </w:pPr>
      <w:r w:rsidRPr="00EF71C1">
        <w:rPr>
          <w:i/>
          <w:iCs/>
          <w:lang w:val="vi-VN"/>
        </w:rPr>
        <w:t>“Điều 2. Đối tượng áp dụng</w:t>
      </w:r>
    </w:p>
    <w:p w:rsidR="00930FB4" w:rsidRPr="00EF71C1" w:rsidRDefault="00EE768C">
      <w:pPr>
        <w:spacing w:before="120" w:after="280" w:afterAutospacing="1"/>
      </w:pPr>
      <w:r w:rsidRPr="00EF71C1">
        <w:rPr>
          <w:i/>
          <w:iCs/>
          <w:lang w:val="vi-VN"/>
        </w:rPr>
        <w:t>1. Hộ kinh doanh, cá nhân kinh doanh là cá nhân cư trú có hoạt động sản xuất, kinh doanh hàng hóa, dịch vụ thuộc tất cả các lĩnh vực, ngành nghề sản xuất, kinh doanh theo quy định của pháp luật, bao gồm cả một số trường hợp sau:</w:t>
      </w:r>
    </w:p>
    <w:p w:rsidR="00930FB4" w:rsidRPr="00EF71C1" w:rsidRDefault="00EE768C">
      <w:pPr>
        <w:spacing w:before="120" w:after="280" w:afterAutospacing="1"/>
      </w:pPr>
      <w:r w:rsidRPr="00EF71C1">
        <w:rPr>
          <w:i/>
          <w:iCs/>
        </w:rPr>
        <w:t>…”</w:t>
      </w:r>
    </w:p>
    <w:p w:rsidR="00930FB4" w:rsidRPr="00EF71C1" w:rsidRDefault="00EE768C">
      <w:pPr>
        <w:spacing w:before="120" w:after="280" w:afterAutospacing="1"/>
      </w:pPr>
      <w:r w:rsidRPr="00EF71C1">
        <w:rPr>
          <w:lang w:val="vi-VN"/>
        </w:rPr>
        <w:t xml:space="preserve">- Căn cứ khoản 1 Điều 6 Luật thương mại số </w:t>
      </w:r>
      <w:hyperlink r:id="rId10" w:history="1">
        <w:r w:rsidRPr="004030D3">
          <w:rPr>
            <w:rStyle w:val="Hyperlink"/>
            <w:lang w:val="vi-VN"/>
          </w:rPr>
          <w:t>36/2005/QH11</w:t>
        </w:r>
      </w:hyperlink>
      <w:r w:rsidRPr="00EF71C1">
        <w:rPr>
          <w:lang w:val="vi-VN"/>
        </w:rPr>
        <w:t xml:space="preserve"> ngày 14/6/2005 quy định:</w:t>
      </w:r>
    </w:p>
    <w:p w:rsidR="00930FB4" w:rsidRPr="00EF71C1" w:rsidRDefault="00EE768C">
      <w:pPr>
        <w:spacing w:before="120" w:after="280" w:afterAutospacing="1"/>
      </w:pPr>
      <w:r w:rsidRPr="00EF71C1">
        <w:rPr>
          <w:i/>
          <w:iCs/>
          <w:lang w:val="vi-VN"/>
        </w:rPr>
        <w:t>“Điều 6. Thương nhân</w:t>
      </w:r>
    </w:p>
    <w:p w:rsidR="00930FB4" w:rsidRPr="00EF71C1" w:rsidRDefault="00EE768C">
      <w:pPr>
        <w:spacing w:before="120" w:after="280" w:afterAutospacing="1"/>
      </w:pPr>
      <w:r w:rsidRPr="00EF71C1">
        <w:rPr>
          <w:i/>
          <w:iCs/>
          <w:lang w:val="vi-VN"/>
        </w:rPr>
        <w:t>1. Thương nhân bao gồm tổ chức kinh tế được thành lập hợp pháp, cá nhân hoạt động thương mại một cách độc lập, thường xuyên và có đăng ký kinh doanh.</w:t>
      </w:r>
    </w:p>
    <w:p w:rsidR="00930FB4" w:rsidRPr="00EF71C1" w:rsidRDefault="00EE768C">
      <w:pPr>
        <w:spacing w:before="120" w:after="280" w:afterAutospacing="1"/>
      </w:pPr>
      <w:r w:rsidRPr="00EF71C1">
        <w:rPr>
          <w:i/>
          <w:iCs/>
        </w:rPr>
        <w:t>…”</w:t>
      </w:r>
    </w:p>
    <w:p w:rsidR="00930FB4" w:rsidRPr="00EF71C1" w:rsidRDefault="00EE768C">
      <w:pPr>
        <w:spacing w:before="120" w:after="280" w:afterAutospacing="1"/>
      </w:pPr>
      <w:r w:rsidRPr="00EF71C1">
        <w:rPr>
          <w:lang w:val="vi-VN"/>
        </w:rPr>
        <w:t>Căn cứ những quy định nêu trên, Cục Thuế TP Hà Nội có ý kiến như sau:</w:t>
      </w:r>
    </w:p>
    <w:p w:rsidR="00930FB4" w:rsidRPr="00EF71C1" w:rsidRDefault="00EE768C">
      <w:pPr>
        <w:spacing w:before="120" w:after="280" w:afterAutospacing="1"/>
      </w:pPr>
      <w:r w:rsidRPr="00EF71C1">
        <w:rPr>
          <w:lang w:val="vi-VN"/>
        </w:rPr>
        <w:lastRenderedPageBreak/>
        <w:t xml:space="preserve">Trường hợp Công ty Cổ phần Giao Hàng Tiết Kiệm (GHTK) ký hợp đồng dịch vụ (không ký hợp đồng lao động hoặc ký hợp đồng lao động dưới 03 tháng) với các cá nhân cung cấp dịch vụ thì khi phát sinh chi trả với tổng mức thu nhập từ 2.000.000 đồng/lần trở lên phải khấu trừ thuế theo mức 10% trên thu nhập trước khi trả cho cá nhân theo quy định tại điểm i khoản 1 Điều 25 Thông tư </w:t>
      </w:r>
      <w:hyperlink r:id="rId11" w:history="1">
        <w:r w:rsidRPr="004030D3">
          <w:rPr>
            <w:rStyle w:val="Hyperlink"/>
            <w:lang w:val="vi-VN"/>
          </w:rPr>
          <w:t>111/2013/TT-BTC</w:t>
        </w:r>
      </w:hyperlink>
      <w:r w:rsidRPr="00EF71C1">
        <w:rPr>
          <w:lang w:val="vi-VN"/>
        </w:rPr>
        <w:t>.</w:t>
      </w:r>
    </w:p>
    <w:p w:rsidR="00930FB4" w:rsidRPr="00EF71C1" w:rsidRDefault="00EE768C">
      <w:pPr>
        <w:spacing w:before="120" w:after="280" w:afterAutospacing="1"/>
      </w:pPr>
      <w:r w:rsidRPr="00EF71C1">
        <w:rPr>
          <w:lang w:val="vi-VN"/>
        </w:rPr>
        <w:t xml:space="preserve">Trong quá trình thực hiện chính sách thuế, trường hợp còn vướng mắc, đơn vị có thể tham khảo các văn bản hướng dẫn của Cục Thuế TP Hà Nội được đăng tải trên website </w:t>
      </w:r>
      <w:r w:rsidRPr="00EF71C1">
        <w:rPr>
          <w:b/>
          <w:bCs/>
          <w:i/>
          <w:iCs/>
          <w:lang w:val="vi-VN"/>
        </w:rPr>
        <w:t>http://hanoigdt.gov.vn</w:t>
      </w:r>
      <w:r w:rsidRPr="00EF71C1">
        <w:rPr>
          <w:lang w:val="vi-VN"/>
        </w:rPr>
        <w:t xml:space="preserve"> hoặc liên hệ với Phòng Thanh tra - Kiểm tra số 9 để được hỗ trợ giải quyết.</w:t>
      </w:r>
    </w:p>
    <w:p w:rsidR="00930FB4" w:rsidRPr="00EF71C1" w:rsidRDefault="00EE768C">
      <w:pPr>
        <w:spacing w:before="120" w:after="280" w:afterAutospacing="1"/>
      </w:pPr>
      <w:r w:rsidRPr="00EF71C1">
        <w:rPr>
          <w:lang w:val="vi-VN"/>
        </w:rPr>
        <w:t>Cục Thuế TP Hà Nội trả lời để Công ty Cổ phần Giao hàng Tiết Kiệm (GHTK) được biết và thực hiện./.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30FB4" w:rsidRPr="00EF71C1">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30FB4" w:rsidRPr="00EF71C1" w:rsidRDefault="00EE768C">
            <w:pPr>
              <w:spacing w:before="120"/>
            </w:pPr>
            <w:r w:rsidRPr="00EF71C1">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30FB4" w:rsidRPr="00EF71C1" w:rsidRDefault="00EE768C">
            <w:pPr>
              <w:spacing w:before="120"/>
              <w:jc w:val="center"/>
            </w:pPr>
            <w:r w:rsidRPr="00EF71C1">
              <w:rPr>
                <w:b/>
                <w:bCs/>
                <w:lang w:val="vi-VN"/>
              </w:rPr>
              <w:t>KT. CỤC TRƯỞNG</w:t>
            </w:r>
            <w:r w:rsidRPr="00EF71C1">
              <w:rPr>
                <w:b/>
                <w:bCs/>
                <w:lang w:val="vi-VN"/>
              </w:rPr>
              <w:br/>
              <w:t>PHÓ CỤC TRƯỞNG</w:t>
            </w:r>
            <w:r w:rsidRPr="00EF71C1">
              <w:rPr>
                <w:b/>
                <w:bCs/>
                <w:lang w:val="vi-VN"/>
              </w:rPr>
              <w:br/>
            </w:r>
            <w:r w:rsidRPr="00EF71C1">
              <w:rPr>
                <w:b/>
                <w:bCs/>
                <w:lang w:val="vi-VN"/>
              </w:rPr>
              <w:br/>
            </w:r>
            <w:r w:rsidRPr="00EF71C1">
              <w:rPr>
                <w:b/>
                <w:bCs/>
                <w:lang w:val="vi-VN"/>
              </w:rPr>
              <w:br/>
            </w:r>
            <w:r w:rsidRPr="00EF71C1">
              <w:rPr>
                <w:b/>
                <w:bCs/>
                <w:lang w:val="vi-VN"/>
              </w:rPr>
              <w:br/>
            </w:r>
            <w:r w:rsidRPr="00EF71C1">
              <w:rPr>
                <w:b/>
                <w:bCs/>
                <w:lang w:val="vi-VN"/>
              </w:rPr>
              <w:br/>
              <w:t>Nguyễn Tiến Trường</w:t>
            </w:r>
          </w:p>
        </w:tc>
      </w:tr>
    </w:tbl>
    <w:p w:rsidR="00930FB4" w:rsidRPr="00EF71C1" w:rsidRDefault="00EE768C">
      <w:pPr>
        <w:spacing w:before="120" w:after="280" w:afterAutospacing="1"/>
      </w:pPr>
      <w:r w:rsidRPr="00EF71C1">
        <w:t> </w:t>
      </w:r>
    </w:p>
    <w:p w:rsidR="00EE768C" w:rsidRPr="00EF71C1" w:rsidRDefault="00EE768C">
      <w:pPr>
        <w:spacing w:before="120" w:after="280" w:afterAutospacing="1"/>
      </w:pPr>
      <w:r w:rsidRPr="00EF71C1">
        <w:t> </w:t>
      </w:r>
    </w:p>
    <w:sectPr w:rsidR="00EE768C" w:rsidRPr="00EF71C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0D3" w:rsidRDefault="004030D3" w:rsidP="004030D3">
      <w:r>
        <w:separator/>
      </w:r>
    </w:p>
  </w:endnote>
  <w:endnote w:type="continuationSeparator" w:id="0">
    <w:p w:rsidR="004030D3" w:rsidRDefault="004030D3" w:rsidP="00403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0D3" w:rsidRDefault="004030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0D3" w:rsidRDefault="004030D3" w:rsidP="004030D3">
    <w:pPr>
      <w:pStyle w:val="Footer"/>
    </w:pPr>
  </w:p>
  <w:p w:rsidR="004030D3" w:rsidRPr="004030D3" w:rsidRDefault="004030D3" w:rsidP="004030D3">
    <w:pPr>
      <w:pStyle w:val="Footer"/>
      <w:jc w:val="right"/>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0D3" w:rsidRDefault="004030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0D3" w:rsidRDefault="004030D3" w:rsidP="004030D3">
      <w:r>
        <w:separator/>
      </w:r>
    </w:p>
  </w:footnote>
  <w:footnote w:type="continuationSeparator" w:id="0">
    <w:p w:rsidR="004030D3" w:rsidRDefault="004030D3" w:rsidP="00403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0D3" w:rsidRDefault="004030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0D3" w:rsidRDefault="004030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0D3" w:rsidRDefault="004030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1C1"/>
    <w:rsid w:val="004030D3"/>
    <w:rsid w:val="00930FB4"/>
    <w:rsid w:val="00EE768C"/>
    <w:rsid w:val="00EF71C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30D3"/>
    <w:rPr>
      <w:color w:val="0563C1" w:themeColor="hyperlink"/>
      <w:u w:val="single"/>
    </w:rPr>
  </w:style>
  <w:style w:type="paragraph" w:styleId="Header">
    <w:name w:val="header"/>
    <w:basedOn w:val="Normal"/>
    <w:link w:val="HeaderChar"/>
    <w:uiPriority w:val="99"/>
    <w:unhideWhenUsed/>
    <w:rsid w:val="004030D3"/>
    <w:pPr>
      <w:tabs>
        <w:tab w:val="center" w:pos="4680"/>
        <w:tab w:val="right" w:pos="9360"/>
      </w:tabs>
    </w:pPr>
  </w:style>
  <w:style w:type="character" w:customStyle="1" w:styleId="HeaderChar">
    <w:name w:val="Header Char"/>
    <w:basedOn w:val="DefaultParagraphFont"/>
    <w:link w:val="Header"/>
    <w:uiPriority w:val="99"/>
    <w:rsid w:val="004030D3"/>
    <w:rPr>
      <w:sz w:val="24"/>
      <w:szCs w:val="24"/>
    </w:rPr>
  </w:style>
  <w:style w:type="paragraph" w:styleId="Footer">
    <w:name w:val="footer"/>
    <w:basedOn w:val="Normal"/>
    <w:link w:val="FooterChar"/>
    <w:uiPriority w:val="99"/>
    <w:unhideWhenUsed/>
    <w:rsid w:val="004030D3"/>
    <w:pPr>
      <w:tabs>
        <w:tab w:val="center" w:pos="4680"/>
        <w:tab w:val="right" w:pos="9360"/>
      </w:tabs>
    </w:pPr>
  </w:style>
  <w:style w:type="character" w:customStyle="1" w:styleId="FooterChar">
    <w:name w:val="Footer Char"/>
    <w:basedOn w:val="DefaultParagraphFont"/>
    <w:link w:val="Footer"/>
    <w:uiPriority w:val="99"/>
    <w:rsid w:val="004030D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30D3"/>
    <w:rPr>
      <w:color w:val="0563C1" w:themeColor="hyperlink"/>
      <w:u w:val="single"/>
    </w:rPr>
  </w:style>
  <w:style w:type="paragraph" w:styleId="Header">
    <w:name w:val="header"/>
    <w:basedOn w:val="Normal"/>
    <w:link w:val="HeaderChar"/>
    <w:uiPriority w:val="99"/>
    <w:unhideWhenUsed/>
    <w:rsid w:val="004030D3"/>
    <w:pPr>
      <w:tabs>
        <w:tab w:val="center" w:pos="4680"/>
        <w:tab w:val="right" w:pos="9360"/>
      </w:tabs>
    </w:pPr>
  </w:style>
  <w:style w:type="character" w:customStyle="1" w:styleId="HeaderChar">
    <w:name w:val="Header Char"/>
    <w:basedOn w:val="DefaultParagraphFont"/>
    <w:link w:val="Header"/>
    <w:uiPriority w:val="99"/>
    <w:rsid w:val="004030D3"/>
    <w:rPr>
      <w:sz w:val="24"/>
      <w:szCs w:val="24"/>
    </w:rPr>
  </w:style>
  <w:style w:type="paragraph" w:styleId="Footer">
    <w:name w:val="footer"/>
    <w:basedOn w:val="Normal"/>
    <w:link w:val="FooterChar"/>
    <w:uiPriority w:val="99"/>
    <w:unhideWhenUsed/>
    <w:rsid w:val="004030D3"/>
    <w:pPr>
      <w:tabs>
        <w:tab w:val="center" w:pos="4680"/>
        <w:tab w:val="right" w:pos="9360"/>
      </w:tabs>
    </w:pPr>
  </w:style>
  <w:style w:type="character" w:customStyle="1" w:styleId="FooterChar">
    <w:name w:val="Footer Char"/>
    <w:basedOn w:val="DefaultParagraphFont"/>
    <w:link w:val="Footer"/>
    <w:uiPriority w:val="99"/>
    <w:rsid w:val="004030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luatvietnam.net/vbpl/53197/decree/65-2013-nd-cp.lin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uatvietnam.net/vbpl/54200/circular/111-2013-tt-btc.link"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uatvietnam.net/vbpl/54200/circular/111-2013-tt-btc.lin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uatvietnam.net/vbpl/15996/law/36-2005-qh11.li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uatvietnam.net/vbpl/112376/circular/40-2021-tt-btc.lin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dc:creator>
  <cp:keywords/>
  <cp:lastModifiedBy>EC2</cp:lastModifiedBy>
  <cp:revision>3</cp:revision>
  <cp:lastPrinted>1900-12-31T17:00:00Z</cp:lastPrinted>
  <dcterms:created xsi:type="dcterms:W3CDTF">2021-11-02T08:08:00Z</dcterms:created>
  <dcterms:modified xsi:type="dcterms:W3CDTF">2021-11-03T07:03:00Z</dcterms:modified>
</cp:coreProperties>
</file>