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D3CEE" w:rsidRPr="007E01A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D3CEE" w:rsidRPr="007E01A7" w:rsidRDefault="007E01A7">
            <w:pPr>
              <w:spacing w:before="120"/>
              <w:jc w:val="center"/>
            </w:pPr>
            <w:r w:rsidRPr="007E01A7">
              <w:t>TỔNG CỤC THUẾ</w:t>
            </w:r>
            <w:r w:rsidRPr="007E01A7">
              <w:rPr>
                <w:b/>
                <w:bCs/>
              </w:rPr>
              <w:br/>
              <w:t>CỤC THUẾ TP HÀ NỘI</w:t>
            </w:r>
            <w:r w:rsidRPr="007E01A7">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D3CEE" w:rsidRPr="007E01A7" w:rsidRDefault="007E01A7">
            <w:pPr>
              <w:spacing w:before="120"/>
              <w:jc w:val="center"/>
            </w:pPr>
            <w:r w:rsidRPr="007E01A7">
              <w:rPr>
                <w:b/>
                <w:bCs/>
                <w:lang w:val="vi-VN"/>
              </w:rPr>
              <w:t>CỘNG HÒA XÃ HỘI CHỦ NGHĨA VIỆT NAM</w:t>
            </w:r>
            <w:r w:rsidRPr="007E01A7">
              <w:rPr>
                <w:b/>
                <w:bCs/>
                <w:lang w:val="vi-VN"/>
              </w:rPr>
              <w:br/>
              <w:t xml:space="preserve">Độc lập - Tự do - Hạnh phúc </w:t>
            </w:r>
            <w:r w:rsidRPr="007E01A7">
              <w:rPr>
                <w:b/>
                <w:bCs/>
                <w:lang w:val="vi-VN"/>
              </w:rPr>
              <w:br/>
              <w:t>---------------</w:t>
            </w:r>
          </w:p>
        </w:tc>
      </w:tr>
      <w:tr w:rsidR="00DD3CEE" w:rsidRPr="007E01A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D3CEE" w:rsidRPr="007E01A7" w:rsidRDefault="007E01A7">
            <w:pPr>
              <w:spacing w:before="120"/>
            </w:pPr>
            <w:r w:rsidRPr="007E01A7">
              <w:rPr>
                <w:lang w:val="vi-VN"/>
              </w:rPr>
              <w:t xml:space="preserve">Số: </w:t>
            </w:r>
            <w:r w:rsidRPr="007E01A7">
              <w:t>36677/CTHN-TTHT</w:t>
            </w:r>
            <w:r w:rsidRPr="007E01A7">
              <w:br/>
            </w:r>
            <w:r w:rsidRPr="007E01A7">
              <w:rPr>
                <w:i/>
                <w:iCs/>
                <w:lang w:val="vi-VN"/>
              </w:rPr>
              <w:t>V/v hướng dẫn chính sách thuế đối với hoạt động chuyển nhượng chứng khoán.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D3CEE" w:rsidRPr="007E01A7" w:rsidRDefault="007E01A7">
            <w:pPr>
              <w:spacing w:before="120"/>
              <w:jc w:val="right"/>
            </w:pPr>
            <w:r w:rsidRPr="007E01A7">
              <w:rPr>
                <w:i/>
                <w:iCs/>
              </w:rPr>
              <w:t xml:space="preserve">Hà Nội, ngày 28 tháng 9 năm 2021 </w:t>
            </w:r>
          </w:p>
        </w:tc>
      </w:tr>
    </w:tbl>
    <w:p w:rsidR="00DD3CEE" w:rsidRPr="007E01A7" w:rsidRDefault="007E01A7">
      <w:pPr>
        <w:spacing w:before="120" w:after="280" w:afterAutospacing="1"/>
      </w:pPr>
      <w:r w:rsidRPr="007E01A7">
        <w:t> </w:t>
      </w:r>
    </w:p>
    <w:p w:rsidR="00DD3CEE" w:rsidRPr="007E01A7" w:rsidRDefault="007E01A7">
      <w:pPr>
        <w:spacing w:before="120" w:after="280" w:afterAutospacing="1"/>
        <w:jc w:val="center"/>
      </w:pPr>
      <w:r w:rsidRPr="007E01A7">
        <w:rPr>
          <w:b/>
          <w:bCs/>
          <w:lang w:val="vi-VN"/>
        </w:rPr>
        <w:t>Kính gửi:</w:t>
      </w:r>
      <w:r w:rsidRPr="007E01A7">
        <w:rPr>
          <w:lang w:val="vi-VN"/>
        </w:rPr>
        <w:t xml:space="preserve"> Công ty cổ phần Chứng khoán Agribank.</w:t>
      </w:r>
      <w:r w:rsidRPr="007E01A7">
        <w:br/>
      </w:r>
      <w:r w:rsidRPr="007E01A7">
        <w:rPr>
          <w:i/>
          <w:iCs/>
          <w:lang w:val="vi-VN"/>
        </w:rPr>
        <w:t xml:space="preserve">(Địa chỉ: Tầng 5, Tòa nhà Artex, số 172 Ngọc Khánh, phường Giảng Võ, quận Ba Đình, TP Hà </w:t>
      </w:r>
      <w:r w:rsidRPr="007E01A7">
        <w:rPr>
          <w:i/>
          <w:iCs/>
        </w:rPr>
        <w:t>Nội</w:t>
      </w:r>
      <w:r w:rsidRPr="007E01A7">
        <w:rPr>
          <w:i/>
          <w:iCs/>
          <w:lang w:val="vi-VN"/>
        </w:rPr>
        <w:t xml:space="preserve"> - MST: 0101150107)</w:t>
      </w:r>
    </w:p>
    <w:p w:rsidR="00DD3CEE" w:rsidRPr="007E01A7" w:rsidRDefault="007E01A7">
      <w:pPr>
        <w:spacing w:before="120" w:after="280" w:afterAutospacing="1"/>
      </w:pPr>
      <w:r w:rsidRPr="007E01A7">
        <w:rPr>
          <w:lang w:val="vi-VN"/>
        </w:rPr>
        <w:t>Trả lời công văn số 1619/2021/CKNN ghi ngày 26/08/2021 của Công ty cổ phần Chứng khoán Agribank vướng mắc về chính sách thuế, Cục Thuế TP Hà Nội có ý kiến như sau:</w:t>
      </w:r>
    </w:p>
    <w:p w:rsidR="00DD3CEE" w:rsidRPr="007E01A7" w:rsidRDefault="007E01A7">
      <w:pPr>
        <w:spacing w:before="120" w:after="280" w:afterAutospacing="1"/>
      </w:pPr>
      <w:r w:rsidRPr="007E01A7">
        <w:rPr>
          <w:lang w:val="vi-VN"/>
        </w:rPr>
        <w:t xml:space="preserve">- Căn cứ Thông tư số </w:t>
      </w:r>
      <w:hyperlink r:id="rId7" w:history="1">
        <w:r w:rsidRPr="00180668">
          <w:rPr>
            <w:rStyle w:val="Hyperlink"/>
            <w:lang w:val="vi-VN"/>
          </w:rPr>
          <w:t>219/2013/TT-BTC</w:t>
        </w:r>
      </w:hyperlink>
      <w:r w:rsidRPr="007E01A7">
        <w:rPr>
          <w:lang w:val="vi-VN"/>
        </w:rPr>
        <w:t xml:space="preserve"> ngày 31/12/2013 của Bộ Tài chính hướng dẫn thi hành Luật Thuế giá trị gia tăng và Nghị định số </w:t>
      </w:r>
      <w:hyperlink r:id="rId8" w:history="1">
        <w:r w:rsidRPr="00180668">
          <w:rPr>
            <w:rStyle w:val="Hyperlink"/>
            <w:lang w:val="vi-VN"/>
          </w:rPr>
          <w:t>209/2013/NĐ-CP</w:t>
        </w:r>
      </w:hyperlink>
      <w:r w:rsidRPr="007E01A7">
        <w:rPr>
          <w:lang w:val="vi-VN"/>
        </w:rPr>
        <w:t xml:space="preserve"> ngày 18/12/2013 của Chính phủ quy định chi tiết và hướng dẫn thi hành một số điều Luật Thuế giá trị gia tăng.</w:t>
      </w:r>
    </w:p>
    <w:p w:rsidR="00DD3CEE" w:rsidRPr="007E01A7" w:rsidRDefault="007E01A7">
      <w:pPr>
        <w:spacing w:before="120" w:after="280" w:afterAutospacing="1"/>
      </w:pPr>
      <w:r w:rsidRPr="007E01A7">
        <w:rPr>
          <w:lang w:val="vi-VN"/>
        </w:rPr>
        <w:t xml:space="preserve">+ Tại điểm d, khoản 8, Điều 4 </w:t>
      </w:r>
      <w:r w:rsidRPr="007E01A7">
        <w:t xml:space="preserve">hướng </w:t>
      </w:r>
      <w:r w:rsidRPr="007E01A7">
        <w:rPr>
          <w:lang w:val="vi-VN"/>
        </w:rPr>
        <w:t xml:space="preserve">dẫn đối tượng không chịu thuế GTGT như sau: </w:t>
      </w:r>
    </w:p>
    <w:p w:rsidR="00DD3CEE" w:rsidRPr="007E01A7" w:rsidRDefault="007E01A7">
      <w:pPr>
        <w:spacing w:before="120" w:after="280" w:afterAutospacing="1"/>
      </w:pPr>
      <w:r w:rsidRPr="007E01A7">
        <w:rPr>
          <w:i/>
          <w:iCs/>
          <w:lang w:val="vi-VN"/>
        </w:rPr>
        <w:t xml:space="preserve">“d) Chuyển nhượng vốn bao gồm việc chuyển nhượng một phần hoặc toàn hộ </w:t>
      </w:r>
      <w:r w:rsidRPr="007E01A7">
        <w:rPr>
          <w:i/>
          <w:iCs/>
        </w:rPr>
        <w:t xml:space="preserve">số </w:t>
      </w:r>
      <w:r w:rsidRPr="007E01A7">
        <w:rPr>
          <w:i/>
          <w:iCs/>
          <w:lang w:val="vi-VN"/>
        </w:rPr>
        <w:t xml:space="preserve">vốn đã đầu tư vào tổ chức kinh tế khác (không phân biệt có thành </w:t>
      </w:r>
      <w:r w:rsidRPr="007E01A7">
        <w:rPr>
          <w:i/>
          <w:iCs/>
        </w:rPr>
        <w:t>lập</w:t>
      </w:r>
      <w:r w:rsidRPr="007E01A7">
        <w:rPr>
          <w:i/>
          <w:iCs/>
          <w:lang w:val="vi-VN"/>
        </w:rPr>
        <w:t xml:space="preserve"> hay không thành </w:t>
      </w:r>
      <w:r w:rsidRPr="007E01A7">
        <w:rPr>
          <w:i/>
          <w:iCs/>
        </w:rPr>
        <w:t>l</w:t>
      </w:r>
      <w:r w:rsidRPr="007E01A7">
        <w:rPr>
          <w:i/>
          <w:iCs/>
          <w:lang w:val="vi-VN"/>
        </w:rPr>
        <w:t xml:space="preserve">ập pháp nhân mới), chuyển nhượng chứng khoán, </w:t>
      </w:r>
      <w:r w:rsidRPr="007E01A7">
        <w:rPr>
          <w:i/>
          <w:iCs/>
        </w:rPr>
        <w:t xml:space="preserve">chuyển </w:t>
      </w:r>
      <w:r w:rsidRPr="007E01A7">
        <w:rPr>
          <w:i/>
          <w:iCs/>
          <w:lang w:val="vi-VN"/>
        </w:rPr>
        <w:t xml:space="preserve">nhượng quyền </w:t>
      </w:r>
      <w:r w:rsidRPr="007E01A7">
        <w:rPr>
          <w:i/>
          <w:iCs/>
        </w:rPr>
        <w:t xml:space="preserve">góp </w:t>
      </w:r>
      <w:r w:rsidRPr="007E01A7">
        <w:rPr>
          <w:i/>
          <w:iCs/>
          <w:lang w:val="vi-VN"/>
        </w:rPr>
        <w:t xml:space="preserve">vốn </w:t>
      </w:r>
      <w:r w:rsidRPr="007E01A7">
        <w:rPr>
          <w:i/>
          <w:iCs/>
        </w:rPr>
        <w:t xml:space="preserve">và </w:t>
      </w:r>
      <w:r w:rsidRPr="007E01A7">
        <w:rPr>
          <w:i/>
          <w:iCs/>
          <w:lang w:val="vi-VN"/>
        </w:rPr>
        <w:t xml:space="preserve">các hình thức chuyển nhượng vốn khác theo quy </w:t>
      </w:r>
      <w:r w:rsidRPr="007E01A7">
        <w:rPr>
          <w:i/>
          <w:iCs/>
        </w:rPr>
        <w:t xml:space="preserve">định </w:t>
      </w:r>
      <w:r w:rsidRPr="007E01A7">
        <w:rPr>
          <w:i/>
          <w:iCs/>
          <w:lang w:val="vi-VN"/>
        </w:rPr>
        <w:t>của pháp luật, kể cả trường hợp bán doanh nghiệp cho doanh nghiệp khác để sản xuất kinh doanh và doanh nghiệp mua kế thừa toàn bộ quyền và nghĩa vụ của doanh nghiệp bán theo quy định của pháp luật.</w:t>
      </w:r>
    </w:p>
    <w:p w:rsidR="00DD3CEE" w:rsidRPr="007E01A7" w:rsidRDefault="007E01A7">
      <w:pPr>
        <w:spacing w:before="120" w:after="280" w:afterAutospacing="1"/>
      </w:pPr>
      <w:r w:rsidRPr="007E01A7">
        <w:rPr>
          <w:i/>
          <w:iCs/>
          <w:lang w:val="vi-VN"/>
        </w:rPr>
        <w:t xml:space="preserve">Ví dụ 6: Tháng 4/2014, Công ty TNHH A góp vốn bằng máy móc, thiết bị để thành lập Công ty cổ phần B, giá trị </w:t>
      </w:r>
      <w:r w:rsidRPr="007E01A7">
        <w:rPr>
          <w:i/>
          <w:iCs/>
        </w:rPr>
        <w:t xml:space="preserve">vốn </w:t>
      </w:r>
      <w:r w:rsidRPr="007E01A7">
        <w:rPr>
          <w:i/>
          <w:iCs/>
          <w:lang w:val="vi-VN"/>
        </w:rPr>
        <w:t xml:space="preserve">góp của Công ty TNHH A được Hội đồng giao nhận vốn góp của các bên góp </w:t>
      </w:r>
      <w:r w:rsidRPr="007E01A7">
        <w:rPr>
          <w:i/>
          <w:iCs/>
        </w:rPr>
        <w:t xml:space="preserve">vốn </w:t>
      </w:r>
      <w:r w:rsidRPr="007E01A7">
        <w:rPr>
          <w:i/>
          <w:iCs/>
          <w:lang w:val="vi-VN"/>
        </w:rPr>
        <w:t xml:space="preserve">định giá là 2,5 tỷ đồng, bằng 25% số </w:t>
      </w:r>
      <w:r w:rsidRPr="007E01A7">
        <w:rPr>
          <w:i/>
          <w:iCs/>
        </w:rPr>
        <w:t xml:space="preserve">vốn </w:t>
      </w:r>
      <w:r w:rsidRPr="007E01A7">
        <w:rPr>
          <w:i/>
          <w:iCs/>
          <w:lang w:val="vi-VN"/>
        </w:rPr>
        <w:t xml:space="preserve">của Công ty </w:t>
      </w:r>
      <w:r w:rsidRPr="007E01A7">
        <w:rPr>
          <w:i/>
          <w:iCs/>
        </w:rPr>
        <w:t>cổ phần</w:t>
      </w:r>
      <w:r w:rsidRPr="007E01A7">
        <w:rPr>
          <w:i/>
          <w:iCs/>
          <w:lang w:val="vi-VN"/>
        </w:rPr>
        <w:t xml:space="preserve"> B. Tháng 11/2014, Công ty TNHH A bán phần vốn góp tại Công ty cổ phần B cho Quỹ Đầu tư ABB với </w:t>
      </w:r>
      <w:r w:rsidRPr="007E01A7">
        <w:rPr>
          <w:i/>
          <w:iCs/>
        </w:rPr>
        <w:t xml:space="preserve">giá </w:t>
      </w:r>
      <w:r w:rsidRPr="007E01A7">
        <w:rPr>
          <w:i/>
          <w:iCs/>
          <w:lang w:val="vi-VN"/>
        </w:rPr>
        <w:t xml:space="preserve">4 tỷ đồng thì số </w:t>
      </w:r>
      <w:r w:rsidRPr="007E01A7">
        <w:rPr>
          <w:i/>
          <w:iCs/>
        </w:rPr>
        <w:t xml:space="preserve">tiền </w:t>
      </w:r>
      <w:r w:rsidRPr="007E01A7">
        <w:rPr>
          <w:i/>
          <w:iCs/>
          <w:lang w:val="vi-VN"/>
        </w:rPr>
        <w:t xml:space="preserve">4 tỷ đồng Công ty TNHH A thu được là doanh thu </w:t>
      </w:r>
      <w:r w:rsidRPr="007E01A7">
        <w:rPr>
          <w:i/>
          <w:iCs/>
        </w:rPr>
        <w:t xml:space="preserve">chuyển </w:t>
      </w:r>
      <w:r w:rsidRPr="007E01A7">
        <w:rPr>
          <w:i/>
          <w:iCs/>
          <w:lang w:val="vi-VN"/>
        </w:rPr>
        <w:t xml:space="preserve">nhượng vốn thuộc </w:t>
      </w:r>
      <w:r w:rsidRPr="007E01A7">
        <w:rPr>
          <w:i/>
          <w:iCs/>
        </w:rPr>
        <w:t xml:space="preserve">đối </w:t>
      </w:r>
      <w:r w:rsidRPr="007E01A7">
        <w:rPr>
          <w:i/>
          <w:iCs/>
          <w:lang w:val="vi-VN"/>
        </w:rPr>
        <w:t>tượng không chịu thuế GTGT</w:t>
      </w:r>
      <w:r w:rsidRPr="007E01A7">
        <w:rPr>
          <w:i/>
          <w:iCs/>
        </w:rPr>
        <w:t>.</w:t>
      </w:r>
      <w:r w:rsidRPr="007E01A7">
        <w:rPr>
          <w:i/>
          <w:iCs/>
          <w:lang w:val="vi-VN"/>
        </w:rPr>
        <w:t>”</w:t>
      </w:r>
    </w:p>
    <w:p w:rsidR="00DD3CEE" w:rsidRPr="007E01A7" w:rsidRDefault="007E01A7">
      <w:pPr>
        <w:spacing w:before="120" w:after="280" w:afterAutospacing="1"/>
      </w:pPr>
      <w:r w:rsidRPr="007E01A7">
        <w:rPr>
          <w:lang w:val="vi-VN"/>
        </w:rPr>
        <w:t xml:space="preserve">+ Tại khoản 1, Điều 5 hướng dẫn các </w:t>
      </w:r>
      <w:r w:rsidRPr="007E01A7">
        <w:t xml:space="preserve">trường </w:t>
      </w:r>
      <w:r w:rsidRPr="007E01A7">
        <w:rPr>
          <w:lang w:val="vi-VN"/>
        </w:rPr>
        <w:t>hợp không phải kê khai, tính nộp thuế GTGT như sau:</w:t>
      </w:r>
    </w:p>
    <w:p w:rsidR="00DD3CEE" w:rsidRPr="007E01A7" w:rsidRDefault="007E01A7">
      <w:pPr>
        <w:spacing w:before="120" w:after="280" w:afterAutospacing="1"/>
      </w:pPr>
      <w:r w:rsidRPr="007E01A7">
        <w:rPr>
          <w:i/>
          <w:iCs/>
          <w:lang w:val="vi-VN"/>
        </w:rPr>
        <w:t>“Điều 5. Các trường hợp không phải kê khai, t</w:t>
      </w:r>
      <w:r w:rsidRPr="007E01A7">
        <w:rPr>
          <w:i/>
          <w:iCs/>
        </w:rPr>
        <w:t>í</w:t>
      </w:r>
      <w:r w:rsidRPr="007E01A7">
        <w:rPr>
          <w:i/>
          <w:iCs/>
          <w:lang w:val="vi-VN"/>
        </w:rPr>
        <w:t xml:space="preserve">nh nộp thuế GTGT </w:t>
      </w:r>
    </w:p>
    <w:p w:rsidR="00DD3CEE" w:rsidRPr="007E01A7" w:rsidRDefault="007E01A7">
      <w:pPr>
        <w:spacing w:before="120" w:after="280" w:afterAutospacing="1"/>
      </w:pPr>
      <w:r w:rsidRPr="007E01A7">
        <w:rPr>
          <w:i/>
          <w:iCs/>
          <w:lang w:val="vi-VN"/>
        </w:rPr>
        <w:t xml:space="preserve">1. Tổ chức, cá nhân nhận các khoản thu về bồi thường bằng tiền (bao gồm cả tiền bồi thường về đất và tài sản trên đất khi bị thu hồi đất theo quyết định của cơ quan Nhà nước có thẩm quyền), tiền thưởng, tiền </w:t>
      </w:r>
      <w:r w:rsidRPr="007E01A7">
        <w:rPr>
          <w:i/>
          <w:iCs/>
        </w:rPr>
        <w:t xml:space="preserve">hỗ </w:t>
      </w:r>
      <w:r w:rsidRPr="007E01A7">
        <w:rPr>
          <w:i/>
          <w:iCs/>
          <w:lang w:val="vi-VN"/>
        </w:rPr>
        <w:t xml:space="preserve">trợ, tiền </w:t>
      </w:r>
      <w:r w:rsidRPr="007E01A7">
        <w:rPr>
          <w:i/>
          <w:iCs/>
        </w:rPr>
        <w:t xml:space="preserve">chuyển </w:t>
      </w:r>
      <w:r w:rsidRPr="007E01A7">
        <w:rPr>
          <w:i/>
          <w:iCs/>
          <w:lang w:val="vi-VN"/>
        </w:rPr>
        <w:t>nhượng quyền phát thải và các khoản thu tài chính khác.</w:t>
      </w:r>
    </w:p>
    <w:p w:rsidR="00DD3CEE" w:rsidRPr="007E01A7" w:rsidRDefault="007E01A7">
      <w:pPr>
        <w:spacing w:before="120" w:after="280" w:afterAutospacing="1"/>
      </w:pPr>
      <w:r w:rsidRPr="007E01A7">
        <w:rPr>
          <w:i/>
          <w:iCs/>
          <w:lang w:val="vi-VN"/>
        </w:rPr>
        <w:lastRenderedPageBreak/>
        <w:t xml:space="preserve">Cơ sở kinh doanh </w:t>
      </w:r>
      <w:r w:rsidRPr="007E01A7">
        <w:rPr>
          <w:i/>
          <w:iCs/>
        </w:rPr>
        <w:t xml:space="preserve">khi nhận </w:t>
      </w:r>
      <w:r w:rsidRPr="007E01A7">
        <w:rPr>
          <w:i/>
          <w:iCs/>
          <w:lang w:val="vi-VN"/>
        </w:rPr>
        <w:t xml:space="preserve">khoản tiền thu về bồi thường, tiền thưởng, tiền hỗ trợ nhận được, tiền </w:t>
      </w:r>
      <w:r w:rsidRPr="007E01A7">
        <w:rPr>
          <w:i/>
          <w:iCs/>
        </w:rPr>
        <w:t xml:space="preserve">chuyển </w:t>
      </w:r>
      <w:r w:rsidRPr="007E01A7">
        <w:rPr>
          <w:i/>
          <w:iCs/>
          <w:lang w:val="vi-VN"/>
        </w:rPr>
        <w:t>nhượng quyền phát thải và các khoản thu tài chính khác thì lập chứng từ thu theo quy định</w:t>
      </w:r>
      <w:r w:rsidRPr="007E01A7">
        <w:rPr>
          <w:i/>
          <w:iCs/>
        </w:rPr>
        <w:t xml:space="preserve">. </w:t>
      </w:r>
      <w:r w:rsidRPr="007E01A7">
        <w:rPr>
          <w:i/>
          <w:iCs/>
          <w:lang w:val="vi-VN"/>
        </w:rPr>
        <w:t xml:space="preserve">Đối với cơ sở kinh doanh </w:t>
      </w:r>
      <w:r w:rsidRPr="007E01A7">
        <w:rPr>
          <w:i/>
          <w:iCs/>
        </w:rPr>
        <w:t xml:space="preserve">chi </w:t>
      </w:r>
      <w:r w:rsidRPr="007E01A7">
        <w:rPr>
          <w:i/>
          <w:iCs/>
          <w:lang w:val="vi-VN"/>
        </w:rPr>
        <w:t xml:space="preserve">tiền, căn cứ mục đích chỉ </w:t>
      </w:r>
      <w:r w:rsidRPr="007E01A7">
        <w:rPr>
          <w:i/>
          <w:iCs/>
        </w:rPr>
        <w:t xml:space="preserve">để </w:t>
      </w:r>
      <w:r w:rsidRPr="007E01A7">
        <w:rPr>
          <w:i/>
          <w:iCs/>
          <w:lang w:val="vi-VN"/>
        </w:rPr>
        <w:t xml:space="preserve">lập chứng từ </w:t>
      </w:r>
      <w:r w:rsidRPr="007E01A7">
        <w:rPr>
          <w:i/>
          <w:iCs/>
        </w:rPr>
        <w:t xml:space="preserve">chi </w:t>
      </w:r>
      <w:r w:rsidRPr="007E01A7">
        <w:rPr>
          <w:i/>
          <w:iCs/>
          <w:lang w:val="vi-VN"/>
        </w:rPr>
        <w:t>tiền.</w:t>
      </w:r>
    </w:p>
    <w:p w:rsidR="00DD3CEE" w:rsidRPr="007E01A7" w:rsidRDefault="007E01A7">
      <w:pPr>
        <w:spacing w:before="120" w:after="280" w:afterAutospacing="1"/>
      </w:pPr>
      <w:r w:rsidRPr="007E01A7">
        <w:rPr>
          <w:i/>
          <w:iCs/>
          <w:lang w:val="vi-VN"/>
        </w:rPr>
        <w:t>Trường hợp bồi thường bằng hàng hóa, dịch vụ, cơ sở bồi thường phải lập hóa đơn và kê khai, t</w:t>
      </w:r>
      <w:r w:rsidRPr="007E01A7">
        <w:rPr>
          <w:i/>
          <w:iCs/>
        </w:rPr>
        <w:t>í</w:t>
      </w:r>
      <w:r w:rsidRPr="007E01A7">
        <w:rPr>
          <w:i/>
          <w:iCs/>
          <w:lang w:val="vi-VN"/>
        </w:rPr>
        <w:t xml:space="preserve">nh, nộp thuế GTGT như đối với bán hàng </w:t>
      </w:r>
      <w:r w:rsidRPr="007E01A7">
        <w:rPr>
          <w:i/>
          <w:iCs/>
        </w:rPr>
        <w:t>hóa</w:t>
      </w:r>
      <w:r w:rsidRPr="007E01A7">
        <w:rPr>
          <w:i/>
          <w:iCs/>
          <w:lang w:val="vi-VN"/>
        </w:rPr>
        <w:t>, dịch vụ; cơ sở nhận bồi thường kê khai, khấu trừ theo quy định</w:t>
      </w:r>
      <w:r w:rsidRPr="007E01A7">
        <w:rPr>
          <w:i/>
          <w:iCs/>
        </w:rPr>
        <w:t>.</w:t>
      </w:r>
    </w:p>
    <w:p w:rsidR="00DD3CEE" w:rsidRPr="007E01A7" w:rsidRDefault="007E01A7">
      <w:pPr>
        <w:spacing w:before="120" w:after="280" w:afterAutospacing="1"/>
      </w:pPr>
      <w:r w:rsidRPr="007E01A7">
        <w:rPr>
          <w:i/>
          <w:iCs/>
          <w:lang w:val="vi-VN"/>
        </w:rPr>
        <w:t>Trường hợp cơ sở kinh doanh nhận tiền của tổ chức, cá nhân để thực hiện dịch vụ cho tổ chức, cá nhân như sửa chữa, bảo hành, khuyến mại, quảng cáo thì phải kê khai, nộp thuế theo quy định</w:t>
      </w:r>
      <w:r w:rsidRPr="007E01A7">
        <w:rPr>
          <w:i/>
          <w:iCs/>
        </w:rPr>
        <w:t>.</w:t>
      </w:r>
    </w:p>
    <w:p w:rsidR="00DD3CEE" w:rsidRPr="007E01A7" w:rsidRDefault="007E01A7">
      <w:pPr>
        <w:spacing w:before="120" w:after="280" w:afterAutospacing="1"/>
      </w:pPr>
      <w:r w:rsidRPr="007E01A7">
        <w:rPr>
          <w:i/>
          <w:iCs/>
        </w:rPr>
        <w:t>…”</w:t>
      </w:r>
    </w:p>
    <w:p w:rsidR="00DD3CEE" w:rsidRPr="007E01A7" w:rsidRDefault="007E01A7">
      <w:pPr>
        <w:spacing w:before="120" w:after="280" w:afterAutospacing="1"/>
      </w:pPr>
      <w:r w:rsidRPr="007E01A7">
        <w:rPr>
          <w:lang w:val="vi-VN"/>
        </w:rPr>
        <w:t xml:space="preserve">- Căn cứ Thông tư số </w:t>
      </w:r>
      <w:hyperlink r:id="rId9" w:history="1">
        <w:r w:rsidRPr="00180668">
          <w:rPr>
            <w:rStyle w:val="Hyperlink"/>
            <w:lang w:val="vi-VN"/>
          </w:rPr>
          <w:t>78/2014/TT-BTC</w:t>
        </w:r>
      </w:hyperlink>
      <w:r w:rsidRPr="007E01A7">
        <w:rPr>
          <w:lang w:val="vi-VN"/>
        </w:rPr>
        <w:t xml:space="preserve"> ngày 18/06/2014 của Bộ Tài chính hướng dẫn thi hành Nghị định số </w:t>
      </w:r>
      <w:hyperlink r:id="rId10" w:history="1">
        <w:r w:rsidRPr="00180668">
          <w:rPr>
            <w:rStyle w:val="Hyperlink"/>
            <w:lang w:val="vi-VN"/>
          </w:rPr>
          <w:t>218/2013/NĐ-CP</w:t>
        </w:r>
      </w:hyperlink>
      <w:r w:rsidRPr="007E01A7">
        <w:rPr>
          <w:lang w:val="vi-VN"/>
        </w:rPr>
        <w:t xml:space="preserve"> ngày 26/12/2013 của Chính phủ quy định và hướng dẫn thi hành Luật thuế thu nhập doanh nghiệp.</w:t>
      </w:r>
    </w:p>
    <w:p w:rsidR="00DD3CEE" w:rsidRPr="007E01A7" w:rsidRDefault="007E01A7">
      <w:pPr>
        <w:spacing w:before="120" w:after="280" w:afterAutospacing="1"/>
      </w:pPr>
      <w:r w:rsidRPr="007E01A7">
        <w:rPr>
          <w:lang w:val="vi-VN"/>
        </w:rPr>
        <w:t>+ Tại khoản 1, khoản 13, khoản 21 Điều 7 hướng dẫn thu nhập khác như sau:</w:t>
      </w:r>
    </w:p>
    <w:p w:rsidR="00DD3CEE" w:rsidRPr="007E01A7" w:rsidRDefault="007E01A7">
      <w:pPr>
        <w:spacing w:before="120" w:after="280" w:afterAutospacing="1"/>
      </w:pPr>
      <w:r w:rsidRPr="007E01A7">
        <w:rPr>
          <w:i/>
          <w:iCs/>
          <w:lang w:val="vi-VN"/>
        </w:rPr>
        <w:t>“Điều 7. Thu nhập khác</w:t>
      </w:r>
    </w:p>
    <w:p w:rsidR="00DD3CEE" w:rsidRPr="007E01A7" w:rsidRDefault="007E01A7">
      <w:pPr>
        <w:spacing w:before="120" w:after="280" w:afterAutospacing="1"/>
      </w:pPr>
      <w:r w:rsidRPr="007E01A7">
        <w:rPr>
          <w:i/>
          <w:iCs/>
        </w:rPr>
        <w:t>…</w:t>
      </w:r>
    </w:p>
    <w:p w:rsidR="00DD3CEE" w:rsidRPr="007E01A7" w:rsidRDefault="007E01A7">
      <w:pPr>
        <w:spacing w:before="120" w:after="280" w:afterAutospacing="1"/>
      </w:pPr>
      <w:r w:rsidRPr="007E01A7">
        <w:rPr>
          <w:i/>
          <w:iCs/>
        </w:rPr>
        <w:t xml:space="preserve">1. </w:t>
      </w:r>
      <w:r w:rsidRPr="007E01A7">
        <w:rPr>
          <w:i/>
          <w:iCs/>
          <w:lang w:val="vi-VN"/>
        </w:rPr>
        <w:t xml:space="preserve">Thu nhập từ chuyển nhượng vốn, chuyển nhượng chứng </w:t>
      </w:r>
      <w:r w:rsidRPr="007E01A7">
        <w:rPr>
          <w:i/>
          <w:iCs/>
        </w:rPr>
        <w:t>khoán</w:t>
      </w:r>
      <w:r w:rsidRPr="007E01A7">
        <w:rPr>
          <w:i/>
          <w:iCs/>
          <w:lang w:val="vi-VN"/>
        </w:rPr>
        <w:t xml:space="preserve"> theo </w:t>
      </w:r>
      <w:r w:rsidRPr="007E01A7">
        <w:rPr>
          <w:i/>
          <w:iCs/>
        </w:rPr>
        <w:t xml:space="preserve">hướng dẫn </w:t>
      </w:r>
      <w:r w:rsidRPr="007E01A7">
        <w:rPr>
          <w:i/>
          <w:iCs/>
          <w:lang w:val="vi-VN"/>
        </w:rPr>
        <w:t>tại Chương IV Thông tư này.</w:t>
      </w:r>
    </w:p>
    <w:p w:rsidR="00DD3CEE" w:rsidRPr="007E01A7" w:rsidRDefault="007E01A7">
      <w:pPr>
        <w:spacing w:before="120" w:after="280" w:afterAutospacing="1"/>
      </w:pPr>
      <w:r w:rsidRPr="007E01A7">
        <w:rPr>
          <w:i/>
          <w:iCs/>
        </w:rPr>
        <w:t>…</w:t>
      </w:r>
    </w:p>
    <w:p w:rsidR="00DD3CEE" w:rsidRPr="007E01A7" w:rsidRDefault="007E01A7">
      <w:pPr>
        <w:spacing w:before="120" w:after="280" w:afterAutospacing="1"/>
      </w:pPr>
      <w:r w:rsidRPr="007E01A7">
        <w:rPr>
          <w:i/>
          <w:iCs/>
          <w:lang w:val="vi-VN"/>
        </w:rPr>
        <w:t xml:space="preserve">13. Trường hợp doanh nghiệp có khoản thu về tiền phạt, tiền bồi thường do bên đối tác vi phạm hợp đồng hoặc các khoản thưởng do thực hiện tốt cam kết theo hợp đồng phát sinh cao hơn khoản chi tiền phạt, tiền bồi thường do vi phạm hợp đồng (các khoản phạt này không thuộc các khoản tiền phạt về vi phạm hành chính theo quy định của pháp luật về xử lý vi phạm hành chính), sau </w:t>
      </w:r>
      <w:r w:rsidRPr="007E01A7">
        <w:rPr>
          <w:i/>
          <w:iCs/>
        </w:rPr>
        <w:t xml:space="preserve">khi </w:t>
      </w:r>
      <w:r w:rsidRPr="007E01A7">
        <w:rPr>
          <w:i/>
          <w:iCs/>
          <w:lang w:val="vi-VN"/>
        </w:rPr>
        <w:t>bu trừ, phần chênh lệch còn lại tính vào thu nhập khác.</w:t>
      </w:r>
    </w:p>
    <w:p w:rsidR="00DD3CEE" w:rsidRPr="007E01A7" w:rsidRDefault="007E01A7">
      <w:pPr>
        <w:spacing w:before="120" w:after="280" w:afterAutospacing="1"/>
      </w:pPr>
      <w:r w:rsidRPr="007E01A7">
        <w:rPr>
          <w:i/>
          <w:iCs/>
          <w:lang w:val="vi-VN"/>
        </w:rPr>
        <w:t xml:space="preserve">Trường hợp doanh nghiệp có khoản thu về tiền phạt, tiền bồi thường do bên </w:t>
      </w:r>
      <w:r w:rsidRPr="007E01A7">
        <w:rPr>
          <w:i/>
          <w:iCs/>
        </w:rPr>
        <w:t xml:space="preserve">đối tác </w:t>
      </w:r>
      <w:r w:rsidRPr="007E01A7">
        <w:rPr>
          <w:i/>
          <w:iCs/>
          <w:lang w:val="vi-VN"/>
        </w:rPr>
        <w:t xml:space="preserve">vi phạm hợp đồng hoặc các khoản thưởng do thực hiện </w:t>
      </w:r>
      <w:r w:rsidRPr="007E01A7">
        <w:rPr>
          <w:i/>
          <w:iCs/>
        </w:rPr>
        <w:t xml:space="preserve">tốt </w:t>
      </w:r>
      <w:r w:rsidRPr="007E01A7">
        <w:rPr>
          <w:i/>
          <w:iCs/>
          <w:lang w:val="vi-VN"/>
        </w:rPr>
        <w:t xml:space="preserve">cam kết theo hợp đồng phát sinh thấp hơn khoản </w:t>
      </w:r>
      <w:r w:rsidRPr="007E01A7">
        <w:rPr>
          <w:i/>
          <w:iCs/>
        </w:rPr>
        <w:t xml:space="preserve">chi tiền </w:t>
      </w:r>
      <w:r w:rsidRPr="007E01A7">
        <w:rPr>
          <w:i/>
          <w:iCs/>
          <w:lang w:val="vi-VN"/>
        </w:rPr>
        <w:t>phạt, tiền bồi thường do vi phạm hợp đồng (các khoản phạt này không thuộc các khoản tiền phạt về vi phạm hành chính theo quy định của pháp luật về xử lý vi phạm hành chính), sau khi bù trừ, phần chênh lệch còn lại tính giảm trừ vào thu nhập khác. Trường hợp đơn vị trong năm không phát sinh thu nhập khác thì được giảm trừ vào thu nhập hoạt động sản xuất kinh doanh</w:t>
      </w:r>
      <w:r w:rsidRPr="007E01A7">
        <w:rPr>
          <w:i/>
          <w:iCs/>
        </w:rPr>
        <w:t>.</w:t>
      </w:r>
    </w:p>
    <w:p w:rsidR="00DD3CEE" w:rsidRPr="007E01A7" w:rsidRDefault="007E01A7">
      <w:pPr>
        <w:spacing w:before="120" w:after="280" w:afterAutospacing="1"/>
      </w:pPr>
      <w:r w:rsidRPr="007E01A7">
        <w:rPr>
          <w:i/>
          <w:iCs/>
          <w:lang w:val="vi-VN"/>
        </w:rPr>
        <w:t xml:space="preserve">Các khoản thu </w:t>
      </w:r>
      <w:r w:rsidRPr="007E01A7">
        <w:rPr>
          <w:i/>
          <w:iCs/>
        </w:rPr>
        <w:t xml:space="preserve">về </w:t>
      </w:r>
      <w:r w:rsidRPr="007E01A7">
        <w:rPr>
          <w:i/>
          <w:iCs/>
          <w:lang w:val="vi-VN"/>
        </w:rPr>
        <w:t xml:space="preserve">tiền </w:t>
      </w:r>
      <w:r w:rsidRPr="007E01A7">
        <w:rPr>
          <w:i/>
          <w:iCs/>
        </w:rPr>
        <w:t>phạt</w:t>
      </w:r>
      <w:r w:rsidRPr="007E01A7">
        <w:rPr>
          <w:i/>
          <w:iCs/>
          <w:lang w:val="vi-VN"/>
        </w:rPr>
        <w:t xml:space="preserve">, tiền bồi thường nêu trên không bao </w:t>
      </w:r>
      <w:r w:rsidRPr="007E01A7">
        <w:rPr>
          <w:i/>
          <w:iCs/>
        </w:rPr>
        <w:t xml:space="preserve">gồm </w:t>
      </w:r>
      <w:r w:rsidRPr="007E01A7">
        <w:rPr>
          <w:i/>
          <w:iCs/>
          <w:lang w:val="vi-VN"/>
        </w:rPr>
        <w:t xml:space="preserve">các khoản tiền phạt, tiền bồi thường được ghi giảm </w:t>
      </w:r>
      <w:r w:rsidRPr="007E01A7">
        <w:rPr>
          <w:i/>
          <w:iCs/>
        </w:rPr>
        <w:t xml:space="preserve">giá </w:t>
      </w:r>
      <w:r w:rsidRPr="007E01A7">
        <w:rPr>
          <w:i/>
          <w:iCs/>
          <w:lang w:val="vi-VN"/>
        </w:rPr>
        <w:t>trị công trình trong giai đoạn đầu tư.</w:t>
      </w:r>
    </w:p>
    <w:p w:rsidR="00DD3CEE" w:rsidRPr="007E01A7" w:rsidRDefault="007E01A7">
      <w:pPr>
        <w:spacing w:before="120" w:after="280" w:afterAutospacing="1"/>
      </w:pPr>
      <w:r w:rsidRPr="007E01A7">
        <w:rPr>
          <w:i/>
          <w:iCs/>
        </w:rPr>
        <w:lastRenderedPageBreak/>
        <w:t>…</w:t>
      </w:r>
    </w:p>
    <w:p w:rsidR="00DD3CEE" w:rsidRPr="007E01A7" w:rsidRDefault="007E01A7">
      <w:pPr>
        <w:spacing w:before="120" w:after="280" w:afterAutospacing="1"/>
      </w:pPr>
      <w:r w:rsidRPr="007E01A7">
        <w:rPr>
          <w:i/>
          <w:iCs/>
          <w:lang w:val="vi-VN"/>
        </w:rPr>
        <w:t>23. Các khoản thu nhập khác theo quy định của pháp luật</w:t>
      </w:r>
      <w:r w:rsidRPr="007E01A7">
        <w:rPr>
          <w:i/>
          <w:iCs/>
        </w:rPr>
        <w:t>.</w:t>
      </w:r>
      <w:r w:rsidRPr="007E01A7">
        <w:rPr>
          <w:i/>
          <w:iCs/>
          <w:lang w:val="vi-VN"/>
        </w:rPr>
        <w:t>”</w:t>
      </w:r>
    </w:p>
    <w:p w:rsidR="00DD3CEE" w:rsidRPr="007E01A7" w:rsidRDefault="007E01A7">
      <w:pPr>
        <w:spacing w:before="120" w:after="280" w:afterAutospacing="1"/>
      </w:pPr>
      <w:r w:rsidRPr="007E01A7">
        <w:rPr>
          <w:lang w:val="vi-VN"/>
        </w:rPr>
        <w:t>+ Tại Điều 15 hướng dẫn thu nhập từ chuyển nhượng chứng khoán như sau:</w:t>
      </w:r>
    </w:p>
    <w:p w:rsidR="00DD3CEE" w:rsidRPr="007E01A7" w:rsidRDefault="007E01A7">
      <w:pPr>
        <w:spacing w:before="120" w:after="280" w:afterAutospacing="1"/>
      </w:pPr>
      <w:r w:rsidRPr="007E01A7">
        <w:rPr>
          <w:i/>
          <w:iCs/>
          <w:lang w:val="vi-VN"/>
        </w:rPr>
        <w:t xml:space="preserve">Điều 15. Thu nhập từ </w:t>
      </w:r>
      <w:r w:rsidRPr="007E01A7">
        <w:rPr>
          <w:i/>
          <w:iCs/>
        </w:rPr>
        <w:t xml:space="preserve">chuyển </w:t>
      </w:r>
      <w:r w:rsidRPr="007E01A7">
        <w:rPr>
          <w:i/>
          <w:iCs/>
          <w:lang w:val="vi-VN"/>
        </w:rPr>
        <w:t>nhượng chứng khoán</w:t>
      </w:r>
    </w:p>
    <w:p w:rsidR="00DD3CEE" w:rsidRPr="007E01A7" w:rsidRDefault="007E01A7">
      <w:pPr>
        <w:spacing w:before="120" w:after="280" w:afterAutospacing="1"/>
      </w:pPr>
      <w:r w:rsidRPr="007E01A7">
        <w:rPr>
          <w:i/>
          <w:iCs/>
          <w:lang w:val="vi-VN"/>
        </w:rPr>
        <w:t xml:space="preserve">1. Phạm </w:t>
      </w:r>
      <w:r w:rsidRPr="007E01A7">
        <w:rPr>
          <w:i/>
          <w:iCs/>
        </w:rPr>
        <w:t xml:space="preserve">vi </w:t>
      </w:r>
      <w:r w:rsidRPr="007E01A7">
        <w:rPr>
          <w:i/>
          <w:iCs/>
          <w:lang w:val="vi-VN"/>
        </w:rPr>
        <w:t>áp dụng:</w:t>
      </w:r>
    </w:p>
    <w:p w:rsidR="00DD3CEE" w:rsidRPr="007E01A7" w:rsidRDefault="007E01A7">
      <w:pPr>
        <w:spacing w:before="120" w:after="280" w:afterAutospacing="1"/>
      </w:pPr>
      <w:r w:rsidRPr="007E01A7">
        <w:rPr>
          <w:i/>
          <w:iCs/>
          <w:lang w:val="vi-VN"/>
        </w:rPr>
        <w:t xml:space="preserve">Thu nhập từ chuyển nhượng chứng khoán của doanh nghiệp là thu nhập có được từ việc chuyển nhượng cổ phiếu, trái </w:t>
      </w:r>
      <w:r w:rsidRPr="007E01A7">
        <w:rPr>
          <w:i/>
          <w:iCs/>
        </w:rPr>
        <w:t>phiếu</w:t>
      </w:r>
      <w:r w:rsidRPr="007E01A7">
        <w:rPr>
          <w:i/>
          <w:iCs/>
          <w:lang w:val="vi-VN"/>
        </w:rPr>
        <w:t>, chứng chỉ quỹ và các loại chứng khoán khác theo quy định.</w:t>
      </w:r>
    </w:p>
    <w:p w:rsidR="00DD3CEE" w:rsidRPr="007E01A7" w:rsidRDefault="007E01A7">
      <w:pPr>
        <w:spacing w:before="120" w:after="280" w:afterAutospacing="1"/>
      </w:pPr>
      <w:r w:rsidRPr="007E01A7">
        <w:rPr>
          <w:i/>
          <w:iCs/>
        </w:rPr>
        <w:t>…</w:t>
      </w:r>
    </w:p>
    <w:p w:rsidR="00DD3CEE" w:rsidRPr="007E01A7" w:rsidRDefault="007E01A7">
      <w:pPr>
        <w:spacing w:before="120" w:after="280" w:afterAutospacing="1"/>
      </w:pPr>
      <w:r w:rsidRPr="007E01A7">
        <w:rPr>
          <w:i/>
          <w:iCs/>
          <w:lang w:val="vi-VN"/>
        </w:rPr>
        <w:t>2. Căn cứ tính thuế:</w:t>
      </w:r>
    </w:p>
    <w:p w:rsidR="00DD3CEE" w:rsidRPr="007E01A7" w:rsidRDefault="007E01A7">
      <w:pPr>
        <w:spacing w:before="120" w:after="280" w:afterAutospacing="1"/>
      </w:pPr>
      <w:r w:rsidRPr="007E01A7">
        <w:rPr>
          <w:lang w:val="vi-VN"/>
        </w:rPr>
        <w:t>Th</w:t>
      </w:r>
      <w:r w:rsidRPr="007E01A7">
        <w:t xml:space="preserve">u </w:t>
      </w:r>
      <w:r w:rsidRPr="007E01A7">
        <w:rPr>
          <w:lang w:val="vi-VN"/>
        </w:rPr>
        <w:t xml:space="preserve">nhập tính thuế từ chuyển nhượng chứng khoán </w:t>
      </w:r>
      <w:r w:rsidRPr="007E01A7">
        <w:t>trong k</w:t>
      </w:r>
      <w:r w:rsidRPr="007E01A7">
        <w:rPr>
          <w:lang w:val="vi-VN"/>
        </w:rPr>
        <w:t xml:space="preserve">ỳ được xác định </w:t>
      </w:r>
      <w:r w:rsidRPr="007E01A7">
        <w:t xml:space="preserve">bằng </w:t>
      </w:r>
      <w:r w:rsidRPr="007E01A7">
        <w:rPr>
          <w:lang w:val="vi-VN"/>
        </w:rPr>
        <w:t xml:space="preserve">giá bán chứng khoán </w:t>
      </w:r>
      <w:r w:rsidRPr="007E01A7">
        <w:t xml:space="preserve">trừ </w:t>
      </w:r>
      <w:r w:rsidRPr="007E01A7">
        <w:rPr>
          <w:lang w:val="vi-VN"/>
        </w:rPr>
        <w:t xml:space="preserve">(-) giá mua của chứng khoán </w:t>
      </w:r>
      <w:r w:rsidRPr="007E01A7">
        <w:t xml:space="preserve">chuyển </w:t>
      </w:r>
      <w:r w:rsidRPr="007E01A7">
        <w:rPr>
          <w:lang w:val="vi-VN"/>
        </w:rPr>
        <w:t xml:space="preserve">nhượng, trừ (-) các chi phí liên quan đến việc </w:t>
      </w:r>
      <w:r w:rsidRPr="007E01A7">
        <w:t xml:space="preserve">chuyển </w:t>
      </w:r>
      <w:r w:rsidRPr="007E01A7">
        <w:rPr>
          <w:lang w:val="vi-VN"/>
        </w:rPr>
        <w:t>nhượng</w:t>
      </w:r>
      <w:r w:rsidRPr="007E01A7">
        <w:t>.</w:t>
      </w:r>
    </w:p>
    <w:p w:rsidR="00DD3CEE" w:rsidRPr="007E01A7" w:rsidRDefault="007E01A7">
      <w:pPr>
        <w:spacing w:before="120" w:after="280" w:afterAutospacing="1"/>
      </w:pPr>
      <w:r w:rsidRPr="007E01A7">
        <w:rPr>
          <w:i/>
          <w:iCs/>
          <w:lang w:val="vi-VN"/>
        </w:rPr>
        <w:t xml:space="preserve">- </w:t>
      </w:r>
      <w:r w:rsidRPr="007E01A7">
        <w:rPr>
          <w:i/>
          <w:iCs/>
        </w:rPr>
        <w:t xml:space="preserve">Giá </w:t>
      </w:r>
      <w:r w:rsidRPr="007E01A7">
        <w:rPr>
          <w:i/>
          <w:iCs/>
          <w:lang w:val="vi-VN"/>
        </w:rPr>
        <w:t>bán chứng khoán được xác định như sau:</w:t>
      </w:r>
    </w:p>
    <w:p w:rsidR="00DD3CEE" w:rsidRPr="007E01A7" w:rsidRDefault="007E01A7">
      <w:pPr>
        <w:spacing w:before="120" w:after="280" w:afterAutospacing="1"/>
      </w:pPr>
      <w:r w:rsidRPr="007E01A7">
        <w:rPr>
          <w:i/>
          <w:iCs/>
          <w:lang w:val="vi-VN"/>
        </w:rPr>
        <w:t xml:space="preserve">+ </w:t>
      </w:r>
      <w:r w:rsidRPr="007E01A7">
        <w:rPr>
          <w:i/>
          <w:iCs/>
        </w:rPr>
        <w:t xml:space="preserve">Đối </w:t>
      </w:r>
      <w:r w:rsidRPr="007E01A7">
        <w:rPr>
          <w:i/>
          <w:iCs/>
          <w:lang w:val="vi-VN"/>
        </w:rPr>
        <w:t xml:space="preserve">với chứng khoán niêm yết và chứng khoán của công ty đại </w:t>
      </w:r>
      <w:r w:rsidRPr="007E01A7">
        <w:rPr>
          <w:i/>
          <w:iCs/>
        </w:rPr>
        <w:t xml:space="preserve">chúng </w:t>
      </w:r>
      <w:r w:rsidRPr="007E01A7">
        <w:rPr>
          <w:i/>
          <w:iCs/>
          <w:lang w:val="vi-VN"/>
        </w:rPr>
        <w:t xml:space="preserve">chưa niêm yết nhưng thực hiện đăng ký giao dịch tại </w:t>
      </w:r>
      <w:r w:rsidRPr="007E01A7">
        <w:rPr>
          <w:i/>
          <w:iCs/>
        </w:rPr>
        <w:t xml:space="preserve">trung </w:t>
      </w:r>
      <w:r w:rsidRPr="007E01A7">
        <w:rPr>
          <w:i/>
          <w:iCs/>
          <w:lang w:val="vi-VN"/>
        </w:rPr>
        <w:t xml:space="preserve">tâm giao dịch chứng khoán thì </w:t>
      </w:r>
      <w:r w:rsidRPr="007E01A7">
        <w:rPr>
          <w:i/>
          <w:iCs/>
        </w:rPr>
        <w:t xml:space="preserve">giá </w:t>
      </w:r>
      <w:r w:rsidRPr="007E01A7">
        <w:rPr>
          <w:i/>
          <w:iCs/>
          <w:lang w:val="vi-VN"/>
        </w:rPr>
        <w:t xml:space="preserve">bán chứng </w:t>
      </w:r>
      <w:r w:rsidRPr="007E01A7">
        <w:rPr>
          <w:i/>
          <w:iCs/>
        </w:rPr>
        <w:t xml:space="preserve">khoán </w:t>
      </w:r>
      <w:r w:rsidRPr="007E01A7">
        <w:rPr>
          <w:i/>
          <w:iCs/>
          <w:lang w:val="vi-VN"/>
        </w:rPr>
        <w:t xml:space="preserve">là giá thực tế bán chứng khoán (là giá </w:t>
      </w:r>
      <w:r w:rsidRPr="007E01A7">
        <w:rPr>
          <w:i/>
          <w:iCs/>
        </w:rPr>
        <w:t xml:space="preserve">khớp </w:t>
      </w:r>
      <w:r w:rsidRPr="007E01A7">
        <w:rPr>
          <w:i/>
          <w:iCs/>
          <w:lang w:val="vi-VN"/>
        </w:rPr>
        <w:t xml:space="preserve">lệnh hoặc giá thỏa </w:t>
      </w:r>
      <w:r w:rsidRPr="007E01A7">
        <w:rPr>
          <w:i/>
          <w:iCs/>
        </w:rPr>
        <w:t>thuận</w:t>
      </w:r>
      <w:r w:rsidRPr="007E01A7">
        <w:rPr>
          <w:i/>
          <w:iCs/>
          <w:lang w:val="vi-VN"/>
        </w:rPr>
        <w:t xml:space="preserve">) theo thông báo của Sở giao dịch </w:t>
      </w:r>
      <w:r w:rsidRPr="007E01A7">
        <w:rPr>
          <w:i/>
          <w:iCs/>
        </w:rPr>
        <w:t>chứng khoán</w:t>
      </w:r>
      <w:r w:rsidRPr="007E01A7">
        <w:rPr>
          <w:i/>
          <w:iCs/>
          <w:lang w:val="vi-VN"/>
        </w:rPr>
        <w:t xml:space="preserve">, </w:t>
      </w:r>
      <w:r w:rsidRPr="007E01A7">
        <w:rPr>
          <w:i/>
          <w:iCs/>
        </w:rPr>
        <w:t xml:space="preserve">trung </w:t>
      </w:r>
      <w:r w:rsidRPr="007E01A7">
        <w:rPr>
          <w:i/>
          <w:iCs/>
          <w:lang w:val="vi-VN"/>
        </w:rPr>
        <w:t xml:space="preserve">tâm giao dịch </w:t>
      </w:r>
      <w:r w:rsidRPr="007E01A7">
        <w:rPr>
          <w:i/>
          <w:iCs/>
        </w:rPr>
        <w:t>chứng khoán</w:t>
      </w:r>
      <w:r w:rsidRPr="007E01A7">
        <w:rPr>
          <w:i/>
          <w:iCs/>
          <w:lang w:val="vi-VN"/>
        </w:rPr>
        <w:t>.</w:t>
      </w:r>
    </w:p>
    <w:p w:rsidR="00DD3CEE" w:rsidRPr="007E01A7" w:rsidRDefault="007E01A7">
      <w:pPr>
        <w:spacing w:before="120" w:after="280" w:afterAutospacing="1"/>
      </w:pPr>
      <w:r w:rsidRPr="007E01A7">
        <w:rPr>
          <w:i/>
          <w:iCs/>
          <w:lang w:val="vi-VN"/>
        </w:rPr>
        <w:t xml:space="preserve">+ Đối với chứng khoán của các công ty không thuộc các </w:t>
      </w:r>
      <w:r w:rsidRPr="007E01A7">
        <w:rPr>
          <w:i/>
          <w:iCs/>
        </w:rPr>
        <w:t>trường hợp nêu trên</w:t>
      </w:r>
      <w:r w:rsidRPr="007E01A7">
        <w:rPr>
          <w:i/>
          <w:iCs/>
          <w:lang w:val="vi-VN"/>
        </w:rPr>
        <w:t xml:space="preserve"> thì giá bán </w:t>
      </w:r>
      <w:r w:rsidRPr="007E01A7">
        <w:rPr>
          <w:i/>
          <w:iCs/>
        </w:rPr>
        <w:t>chứng</w:t>
      </w:r>
      <w:r w:rsidRPr="007E01A7">
        <w:rPr>
          <w:i/>
          <w:iCs/>
          <w:lang w:val="vi-VN"/>
        </w:rPr>
        <w:t xml:space="preserve"> khoán là giá </w:t>
      </w:r>
      <w:r w:rsidRPr="007E01A7">
        <w:rPr>
          <w:i/>
          <w:iCs/>
        </w:rPr>
        <w:t xml:space="preserve">chuyển </w:t>
      </w:r>
      <w:r w:rsidRPr="007E01A7">
        <w:rPr>
          <w:i/>
          <w:iCs/>
          <w:lang w:val="vi-VN"/>
        </w:rPr>
        <w:t xml:space="preserve">nhượng ghi trên hợp đồng </w:t>
      </w:r>
      <w:r w:rsidRPr="007E01A7">
        <w:rPr>
          <w:i/>
          <w:iCs/>
        </w:rPr>
        <w:t xml:space="preserve">chuyển </w:t>
      </w:r>
      <w:r w:rsidRPr="007E01A7">
        <w:rPr>
          <w:i/>
          <w:iCs/>
          <w:lang w:val="vi-VN"/>
        </w:rPr>
        <w:t xml:space="preserve">nhượng. </w:t>
      </w:r>
    </w:p>
    <w:p w:rsidR="00DD3CEE" w:rsidRPr="007E01A7" w:rsidRDefault="007E01A7">
      <w:pPr>
        <w:spacing w:before="120" w:after="280" w:afterAutospacing="1"/>
      </w:pPr>
      <w:r w:rsidRPr="007E01A7">
        <w:rPr>
          <w:i/>
          <w:iCs/>
          <w:lang w:val="vi-VN"/>
        </w:rPr>
        <w:t xml:space="preserve">- </w:t>
      </w:r>
      <w:r w:rsidRPr="007E01A7">
        <w:rPr>
          <w:i/>
          <w:iCs/>
        </w:rPr>
        <w:t xml:space="preserve">Giá mua của </w:t>
      </w:r>
      <w:r w:rsidRPr="007E01A7">
        <w:rPr>
          <w:i/>
          <w:iCs/>
          <w:lang w:val="vi-VN"/>
        </w:rPr>
        <w:t>chứng khoán được xác định như sau:</w:t>
      </w:r>
    </w:p>
    <w:p w:rsidR="00DD3CEE" w:rsidRPr="007E01A7" w:rsidRDefault="007E01A7">
      <w:pPr>
        <w:spacing w:before="120" w:after="280" w:afterAutospacing="1"/>
      </w:pPr>
      <w:r w:rsidRPr="007E01A7">
        <w:rPr>
          <w:i/>
          <w:iCs/>
          <w:lang w:val="vi-VN"/>
        </w:rPr>
        <w:t xml:space="preserve">+ Đối với chứng khoán niêm yết và chứng khoán của công ty đại chúng chưa niêm yết nhưng thực hiện đăng ký giao dịch tại </w:t>
      </w:r>
      <w:r w:rsidRPr="007E01A7">
        <w:rPr>
          <w:i/>
          <w:iCs/>
        </w:rPr>
        <w:t xml:space="preserve">trung </w:t>
      </w:r>
      <w:r w:rsidRPr="007E01A7">
        <w:rPr>
          <w:i/>
          <w:iCs/>
          <w:lang w:val="vi-VN"/>
        </w:rPr>
        <w:t xml:space="preserve">tâm giao dịch </w:t>
      </w:r>
      <w:r w:rsidRPr="007E01A7">
        <w:rPr>
          <w:i/>
          <w:iCs/>
        </w:rPr>
        <w:t>chứng</w:t>
      </w:r>
      <w:r w:rsidRPr="007E01A7">
        <w:rPr>
          <w:i/>
          <w:iCs/>
          <w:lang w:val="vi-VN"/>
        </w:rPr>
        <w:t xml:space="preserve"> khoán thì giá mua chứng khoán là giá thực mua chứng khoán </w:t>
      </w:r>
      <w:r w:rsidRPr="007E01A7">
        <w:rPr>
          <w:i/>
          <w:iCs/>
        </w:rPr>
        <w:t xml:space="preserve">(là </w:t>
      </w:r>
      <w:r w:rsidRPr="007E01A7">
        <w:rPr>
          <w:i/>
          <w:iCs/>
          <w:lang w:val="vi-VN"/>
        </w:rPr>
        <w:t xml:space="preserve">giá khớp lệnh hoặc giá thỏa </w:t>
      </w:r>
      <w:r w:rsidRPr="007E01A7">
        <w:rPr>
          <w:i/>
          <w:iCs/>
        </w:rPr>
        <w:t>thuận</w:t>
      </w:r>
      <w:r w:rsidRPr="007E01A7">
        <w:rPr>
          <w:i/>
          <w:iCs/>
          <w:lang w:val="vi-VN"/>
        </w:rPr>
        <w:t xml:space="preserve">) theo thông báo của Sở giao dịch chứng khoán, trung tâm giao dịch chứng </w:t>
      </w:r>
      <w:r w:rsidRPr="007E01A7">
        <w:rPr>
          <w:i/>
          <w:iCs/>
        </w:rPr>
        <w:t>khoán</w:t>
      </w:r>
      <w:r w:rsidRPr="007E01A7">
        <w:rPr>
          <w:i/>
          <w:iCs/>
          <w:lang w:val="vi-VN"/>
        </w:rPr>
        <w:t>.</w:t>
      </w:r>
    </w:p>
    <w:p w:rsidR="00DD3CEE" w:rsidRPr="007E01A7" w:rsidRDefault="007E01A7">
      <w:pPr>
        <w:spacing w:before="120" w:after="280" w:afterAutospacing="1"/>
      </w:pPr>
      <w:r w:rsidRPr="007E01A7">
        <w:rPr>
          <w:i/>
          <w:iCs/>
          <w:lang w:val="vi-VN"/>
        </w:rPr>
        <w:t xml:space="preserve">+ Đối với chứng khoán mua thông qua đấu </w:t>
      </w:r>
      <w:r w:rsidRPr="007E01A7">
        <w:rPr>
          <w:i/>
          <w:iCs/>
        </w:rPr>
        <w:t xml:space="preserve">giá </w:t>
      </w:r>
      <w:r w:rsidRPr="007E01A7">
        <w:rPr>
          <w:i/>
          <w:iCs/>
          <w:lang w:val="vi-VN"/>
        </w:rPr>
        <w:t xml:space="preserve">thì giá mua chứng khoán là mức giá ghi </w:t>
      </w:r>
      <w:r w:rsidRPr="007E01A7">
        <w:rPr>
          <w:i/>
          <w:iCs/>
        </w:rPr>
        <w:t xml:space="preserve">trên </w:t>
      </w:r>
      <w:r w:rsidRPr="007E01A7">
        <w:rPr>
          <w:i/>
          <w:iCs/>
          <w:lang w:val="vi-VN"/>
        </w:rPr>
        <w:t xml:space="preserve">thông báo kết quả trúng đấu giá cổ phần của tổ chức thực hiện đấu giá </w:t>
      </w:r>
      <w:r w:rsidRPr="007E01A7">
        <w:rPr>
          <w:i/>
          <w:iCs/>
        </w:rPr>
        <w:t xml:space="preserve">cổ </w:t>
      </w:r>
      <w:r w:rsidRPr="007E01A7">
        <w:rPr>
          <w:i/>
          <w:iCs/>
          <w:lang w:val="vi-VN"/>
        </w:rPr>
        <w:t>phần và giấy nộp tiền.</w:t>
      </w:r>
    </w:p>
    <w:p w:rsidR="00DD3CEE" w:rsidRPr="007E01A7" w:rsidRDefault="007E01A7">
      <w:pPr>
        <w:spacing w:before="120" w:after="280" w:afterAutospacing="1"/>
      </w:pPr>
      <w:r w:rsidRPr="007E01A7">
        <w:rPr>
          <w:i/>
          <w:iCs/>
          <w:lang w:val="vi-VN"/>
        </w:rPr>
        <w:t xml:space="preserve">+ Đối với chứng khoán không thuộc các </w:t>
      </w:r>
      <w:r w:rsidRPr="007E01A7">
        <w:rPr>
          <w:i/>
          <w:iCs/>
        </w:rPr>
        <w:t xml:space="preserve">trường </w:t>
      </w:r>
      <w:r w:rsidRPr="007E01A7">
        <w:rPr>
          <w:i/>
          <w:iCs/>
          <w:lang w:val="vi-VN"/>
        </w:rPr>
        <w:t xml:space="preserve">hợp nêu trên: </w:t>
      </w:r>
      <w:r w:rsidRPr="007E01A7">
        <w:rPr>
          <w:i/>
          <w:iCs/>
        </w:rPr>
        <w:t>giá mua chứng</w:t>
      </w:r>
      <w:r w:rsidRPr="007E01A7">
        <w:rPr>
          <w:i/>
          <w:iCs/>
          <w:lang w:val="vi-VN"/>
        </w:rPr>
        <w:t xml:space="preserve"> khoán là giá </w:t>
      </w:r>
      <w:r w:rsidRPr="007E01A7">
        <w:rPr>
          <w:i/>
          <w:iCs/>
        </w:rPr>
        <w:t xml:space="preserve">chuyển </w:t>
      </w:r>
      <w:r w:rsidRPr="007E01A7">
        <w:rPr>
          <w:i/>
          <w:iCs/>
          <w:lang w:val="vi-VN"/>
        </w:rPr>
        <w:t xml:space="preserve">nhượng ghi trên hợp đồng </w:t>
      </w:r>
      <w:r w:rsidRPr="007E01A7">
        <w:rPr>
          <w:i/>
          <w:iCs/>
        </w:rPr>
        <w:t xml:space="preserve">chuyển </w:t>
      </w:r>
      <w:r w:rsidRPr="007E01A7">
        <w:rPr>
          <w:i/>
          <w:iCs/>
          <w:lang w:val="vi-VN"/>
        </w:rPr>
        <w:t>nhượng.</w:t>
      </w:r>
    </w:p>
    <w:p w:rsidR="00DD3CEE" w:rsidRPr="007E01A7" w:rsidRDefault="007E01A7">
      <w:pPr>
        <w:spacing w:before="120" w:after="280" w:afterAutospacing="1"/>
      </w:pPr>
      <w:r w:rsidRPr="007E01A7">
        <w:rPr>
          <w:i/>
          <w:iCs/>
        </w:rPr>
        <w:t xml:space="preserve">- </w:t>
      </w:r>
      <w:r w:rsidRPr="007E01A7">
        <w:rPr>
          <w:i/>
          <w:iCs/>
          <w:lang w:val="vi-VN"/>
        </w:rPr>
        <w:t xml:space="preserve">Chi phí chuyển nhượng là các khoản chi thực tế liên quan trực tiếp đến việc chuyển nhượng, </w:t>
      </w:r>
      <w:r w:rsidRPr="007E01A7">
        <w:rPr>
          <w:i/>
          <w:iCs/>
        </w:rPr>
        <w:t xml:space="preserve">có </w:t>
      </w:r>
      <w:r w:rsidRPr="007E01A7">
        <w:rPr>
          <w:i/>
          <w:iCs/>
          <w:lang w:val="vi-VN"/>
        </w:rPr>
        <w:t>chứng từ; hóa đơn hợp pháp.</w:t>
      </w:r>
    </w:p>
    <w:p w:rsidR="00DD3CEE" w:rsidRPr="007E01A7" w:rsidRDefault="007E01A7">
      <w:pPr>
        <w:spacing w:before="120" w:after="280" w:afterAutospacing="1"/>
      </w:pPr>
      <w:r w:rsidRPr="007E01A7">
        <w:rPr>
          <w:i/>
          <w:iCs/>
          <w:lang w:val="vi-VN"/>
        </w:rPr>
        <w:t xml:space="preserve">Chi phí </w:t>
      </w:r>
      <w:r w:rsidRPr="007E01A7">
        <w:rPr>
          <w:i/>
          <w:iCs/>
        </w:rPr>
        <w:t xml:space="preserve">chuyển </w:t>
      </w:r>
      <w:r w:rsidRPr="007E01A7">
        <w:rPr>
          <w:i/>
          <w:iCs/>
          <w:lang w:val="vi-VN"/>
        </w:rPr>
        <w:t xml:space="preserve">nhượng bao gồm: chi phí </w:t>
      </w:r>
      <w:r w:rsidRPr="007E01A7">
        <w:rPr>
          <w:i/>
          <w:iCs/>
        </w:rPr>
        <w:t xml:space="preserve">để </w:t>
      </w:r>
      <w:r w:rsidRPr="007E01A7">
        <w:rPr>
          <w:i/>
          <w:iCs/>
          <w:lang w:val="vi-VN"/>
        </w:rPr>
        <w:t xml:space="preserve">làm các thủ tục pháp lý cần thiết cho việc chuyển nhượng; Các khoản phí và lệ phí phải nộp khi làm thủ tục </w:t>
      </w:r>
      <w:r w:rsidRPr="007E01A7">
        <w:rPr>
          <w:i/>
          <w:iCs/>
        </w:rPr>
        <w:t xml:space="preserve">chuyển </w:t>
      </w:r>
      <w:r w:rsidRPr="007E01A7">
        <w:rPr>
          <w:i/>
          <w:iCs/>
          <w:lang w:val="vi-VN"/>
        </w:rPr>
        <w:t xml:space="preserve">nhượng; Phí lưu </w:t>
      </w:r>
      <w:r w:rsidRPr="007E01A7">
        <w:rPr>
          <w:i/>
          <w:iCs/>
        </w:rPr>
        <w:t xml:space="preserve">ký </w:t>
      </w:r>
      <w:r w:rsidRPr="007E01A7">
        <w:rPr>
          <w:i/>
          <w:iCs/>
          <w:lang w:val="vi-VN"/>
        </w:rPr>
        <w:t xml:space="preserve">chứng khoán theo quy định của Ủy ban chứng khoán Nhà nước và chứng từ </w:t>
      </w:r>
      <w:r w:rsidRPr="007E01A7">
        <w:rPr>
          <w:i/>
          <w:iCs/>
        </w:rPr>
        <w:t xml:space="preserve">thu </w:t>
      </w:r>
      <w:r w:rsidRPr="007E01A7">
        <w:rPr>
          <w:i/>
          <w:iCs/>
          <w:lang w:val="vi-VN"/>
        </w:rPr>
        <w:t xml:space="preserve">của công ty chứng khoán; Phí ủy thác chứng khoán căn cứ vào chứng từ thu của đơn vị nhận ủy thác; Các chi phí giao dịch, đàm phán, </w:t>
      </w:r>
      <w:r w:rsidRPr="007E01A7">
        <w:rPr>
          <w:i/>
          <w:iCs/>
        </w:rPr>
        <w:t xml:space="preserve">ký </w:t>
      </w:r>
      <w:r w:rsidRPr="007E01A7">
        <w:rPr>
          <w:i/>
          <w:iCs/>
          <w:lang w:val="vi-VN"/>
        </w:rPr>
        <w:t xml:space="preserve">kết hợp đồng </w:t>
      </w:r>
      <w:r w:rsidRPr="007E01A7">
        <w:rPr>
          <w:i/>
          <w:iCs/>
        </w:rPr>
        <w:t xml:space="preserve">chuyển </w:t>
      </w:r>
      <w:r w:rsidRPr="007E01A7">
        <w:rPr>
          <w:i/>
          <w:iCs/>
          <w:lang w:val="vi-VN"/>
        </w:rPr>
        <w:t xml:space="preserve">nhượng và các chi </w:t>
      </w:r>
      <w:r w:rsidRPr="007E01A7">
        <w:rPr>
          <w:i/>
          <w:iCs/>
        </w:rPr>
        <w:t xml:space="preserve">phí </w:t>
      </w:r>
      <w:r w:rsidRPr="007E01A7">
        <w:rPr>
          <w:i/>
          <w:iCs/>
          <w:lang w:val="vi-VN"/>
        </w:rPr>
        <w:t>khác có chứng từ chứng minh.</w:t>
      </w:r>
    </w:p>
    <w:p w:rsidR="00DD3CEE" w:rsidRPr="007E01A7" w:rsidRDefault="007E01A7">
      <w:pPr>
        <w:spacing w:before="120" w:after="280" w:afterAutospacing="1"/>
      </w:pPr>
      <w:r w:rsidRPr="007E01A7">
        <w:rPr>
          <w:i/>
          <w:iCs/>
          <w:lang w:val="vi-VN"/>
        </w:rPr>
        <w:t xml:space="preserve">Doanh nghiệp </w:t>
      </w:r>
      <w:r w:rsidRPr="007E01A7">
        <w:rPr>
          <w:i/>
          <w:iCs/>
        </w:rPr>
        <w:t xml:space="preserve">có </w:t>
      </w:r>
      <w:r w:rsidRPr="007E01A7">
        <w:rPr>
          <w:i/>
          <w:iCs/>
          <w:lang w:val="vi-VN"/>
        </w:rPr>
        <w:t xml:space="preserve">thu nhập từ </w:t>
      </w:r>
      <w:r w:rsidRPr="007E01A7">
        <w:rPr>
          <w:i/>
          <w:iCs/>
        </w:rPr>
        <w:t xml:space="preserve">chuyển </w:t>
      </w:r>
      <w:r w:rsidRPr="007E01A7">
        <w:rPr>
          <w:i/>
          <w:iCs/>
          <w:lang w:val="vi-VN"/>
        </w:rPr>
        <w:t xml:space="preserve">nhượng chứng khoán thì khoản thu nhập này được xác định là khoản thu nhập khác và kê khai vào thu nhập chịu thuế </w:t>
      </w:r>
      <w:r w:rsidRPr="007E01A7">
        <w:rPr>
          <w:i/>
          <w:iCs/>
        </w:rPr>
        <w:t xml:space="preserve">khi </w:t>
      </w:r>
      <w:r w:rsidRPr="007E01A7">
        <w:rPr>
          <w:i/>
          <w:iCs/>
          <w:lang w:val="vi-VN"/>
        </w:rPr>
        <w:t>tính thuế thu nhập doanh nghiệp.”</w:t>
      </w:r>
    </w:p>
    <w:p w:rsidR="00DD3CEE" w:rsidRPr="007E01A7" w:rsidRDefault="007E01A7">
      <w:pPr>
        <w:spacing w:before="120" w:after="280" w:afterAutospacing="1"/>
      </w:pPr>
      <w:r w:rsidRPr="007E01A7">
        <w:rPr>
          <w:lang w:val="vi-VN"/>
        </w:rPr>
        <w:t xml:space="preserve">Căn cứ các quy định trên, trường hợp Công ty cổ phần Chứng khoán Agribank có phát sinh khoản thu từ hoạt động chuyển nhượng chứng khoán theo đúng quy định của pháp luật thì khoản thu này thuộc đối tượng không chịu thuế GTGT theo hướng dẫn tại điểm d khoản 8 Điều 4 Thông tư số </w:t>
      </w:r>
      <w:hyperlink r:id="rId11" w:history="1">
        <w:r w:rsidRPr="00180668">
          <w:rPr>
            <w:rStyle w:val="Hyperlink"/>
            <w:lang w:val="vi-VN"/>
          </w:rPr>
          <w:t>219/2013/TT-BTC</w:t>
        </w:r>
      </w:hyperlink>
      <w:r w:rsidRPr="007E01A7">
        <w:rPr>
          <w:lang w:val="vi-VN"/>
        </w:rPr>
        <w:t xml:space="preserve"> ngày 31/12/2013 của Bộ Tài chính. Công ty thực hiện kê khai thuế thu nhập đối với hoạt động chuyển nhượng chứng khoán theo hướng dẫn tại Điều 15 </w:t>
      </w:r>
      <w:r w:rsidRPr="007E01A7">
        <w:t xml:space="preserve">Thông </w:t>
      </w:r>
      <w:r w:rsidRPr="007E01A7">
        <w:rPr>
          <w:lang w:val="vi-VN"/>
        </w:rPr>
        <w:t xml:space="preserve">tư số </w:t>
      </w:r>
      <w:hyperlink r:id="rId12" w:history="1">
        <w:r w:rsidRPr="00180668">
          <w:rPr>
            <w:rStyle w:val="Hyperlink"/>
            <w:lang w:val="vi-VN"/>
          </w:rPr>
          <w:t>78/2014/TT-BTC</w:t>
        </w:r>
      </w:hyperlink>
      <w:r w:rsidRPr="007E01A7">
        <w:rPr>
          <w:lang w:val="vi-VN"/>
        </w:rPr>
        <w:t xml:space="preserve"> ngày </w:t>
      </w:r>
      <w:r w:rsidRPr="007E01A7">
        <w:t>1</w:t>
      </w:r>
      <w:r w:rsidRPr="007E01A7">
        <w:rPr>
          <w:lang w:val="vi-VN"/>
        </w:rPr>
        <w:t xml:space="preserve">8/06/2014 của Bộ Tài chính. </w:t>
      </w:r>
    </w:p>
    <w:p w:rsidR="00DD3CEE" w:rsidRPr="007E01A7" w:rsidRDefault="007E01A7">
      <w:pPr>
        <w:spacing w:before="120" w:after="280" w:afterAutospacing="1"/>
      </w:pPr>
      <w:r w:rsidRPr="007E01A7">
        <w:rPr>
          <w:lang w:val="vi-VN"/>
        </w:rPr>
        <w:t xml:space="preserve">Trường hợp Công ty CP Chứng khoán Agribank có nhận được khoản tiền phạt do đối tác vi phạm hợp đồng theo đúng quy định của pháp luật thì khoản tiền này thuộc trường hợp không phải kê khai, tính nộp thuế GTGT theo hướng dẫn tại khoản 1 Điều 5 Thông tư số </w:t>
      </w:r>
      <w:hyperlink r:id="rId13" w:history="1">
        <w:r w:rsidRPr="00180668">
          <w:rPr>
            <w:rStyle w:val="Hyperlink"/>
            <w:lang w:val="vi-VN"/>
          </w:rPr>
          <w:t>219/2013/TT-BTC</w:t>
        </w:r>
      </w:hyperlink>
      <w:r w:rsidRPr="007E01A7">
        <w:rPr>
          <w:lang w:val="vi-VN"/>
        </w:rPr>
        <w:t xml:space="preserve"> ngày 31/12/2013 của Bộ Tài chính. Công ty thực hiện kê khai thuế thu nhập doanh nghiệp đối với khoản tiền phạt do đối tác vi phạm hợp đồng theo hướng dẫn tại Điều 7 Thông tư số </w:t>
      </w:r>
      <w:hyperlink r:id="rId14" w:history="1">
        <w:r w:rsidRPr="00180668">
          <w:rPr>
            <w:rStyle w:val="Hyperlink"/>
            <w:lang w:val="vi-VN"/>
          </w:rPr>
          <w:t>78/2014/TT-BTC</w:t>
        </w:r>
      </w:hyperlink>
      <w:r w:rsidRPr="007E01A7">
        <w:rPr>
          <w:lang w:val="vi-VN"/>
        </w:rPr>
        <w:t xml:space="preserve"> ngày 18/06/2</w:t>
      </w:r>
      <w:r w:rsidRPr="007E01A7">
        <w:t>0</w:t>
      </w:r>
      <w:r w:rsidRPr="007E01A7">
        <w:rPr>
          <w:lang w:val="vi-VN"/>
        </w:rPr>
        <w:t>14 của Bộ Tài chính.</w:t>
      </w:r>
    </w:p>
    <w:p w:rsidR="00DD3CEE" w:rsidRPr="007E01A7" w:rsidRDefault="007E01A7">
      <w:pPr>
        <w:spacing w:before="120" w:after="280" w:afterAutospacing="1"/>
      </w:pPr>
      <w:r w:rsidRPr="007E01A7">
        <w:rPr>
          <w:lang w:val="vi-VN"/>
        </w:rPr>
        <w:t xml:space="preserve">Trong quá trình thực hiện chính sách thuế, trường hợp còn </w:t>
      </w:r>
      <w:r w:rsidRPr="007E01A7">
        <w:t xml:space="preserve">vướng </w:t>
      </w:r>
      <w:r w:rsidRPr="007E01A7">
        <w:rPr>
          <w:lang w:val="vi-VN"/>
        </w:rPr>
        <w:t xml:space="preserve">mắc, đơn vị có thể tham khảo các văn bản hướng dẫn của Cục Thuế TP Hà Nội được </w:t>
      </w:r>
      <w:r w:rsidRPr="007E01A7">
        <w:t xml:space="preserve">đăng </w:t>
      </w:r>
      <w:r w:rsidRPr="007E01A7">
        <w:rPr>
          <w:lang w:val="vi-VN"/>
        </w:rPr>
        <w:t xml:space="preserve">tải trên website </w:t>
      </w:r>
      <w:r w:rsidRPr="007E01A7">
        <w:rPr>
          <w:b/>
          <w:bCs/>
          <w:u w:val="single"/>
          <w:lang w:val="vi-VN"/>
        </w:rPr>
        <w:t>http</w:t>
      </w:r>
      <w:r w:rsidRPr="007E01A7">
        <w:rPr>
          <w:b/>
          <w:bCs/>
          <w:u w:val="single"/>
        </w:rPr>
        <w:t>:</w:t>
      </w:r>
      <w:r w:rsidRPr="007E01A7">
        <w:rPr>
          <w:b/>
          <w:bCs/>
          <w:u w:val="single"/>
          <w:lang w:val="vi-VN"/>
        </w:rPr>
        <w:t xml:space="preserve">//hanoi.gdt.gov.vn </w:t>
      </w:r>
      <w:r w:rsidRPr="007E01A7">
        <w:rPr>
          <w:lang w:val="vi-VN"/>
        </w:rPr>
        <w:t xml:space="preserve">hoặc </w:t>
      </w:r>
      <w:r w:rsidRPr="007E01A7">
        <w:t xml:space="preserve">liên </w:t>
      </w:r>
      <w:r w:rsidRPr="007E01A7">
        <w:rPr>
          <w:lang w:val="vi-VN"/>
        </w:rPr>
        <w:t xml:space="preserve">hệ với Phòng Thanh tra - Kiểm tra </w:t>
      </w:r>
      <w:r w:rsidRPr="007E01A7">
        <w:t>số</w:t>
      </w:r>
      <w:r w:rsidRPr="007E01A7">
        <w:rPr>
          <w:lang w:val="vi-VN"/>
        </w:rPr>
        <w:t xml:space="preserve"> 8 </w:t>
      </w:r>
      <w:r w:rsidRPr="007E01A7">
        <w:t xml:space="preserve">để </w:t>
      </w:r>
      <w:r w:rsidRPr="007E01A7">
        <w:rPr>
          <w:lang w:val="vi-VN"/>
        </w:rPr>
        <w:t>được hỗ trợ giải quyết.</w:t>
      </w:r>
    </w:p>
    <w:p w:rsidR="00DD3CEE" w:rsidRPr="007E01A7" w:rsidRDefault="007E01A7">
      <w:pPr>
        <w:spacing w:before="120" w:after="280" w:afterAutospacing="1"/>
      </w:pPr>
      <w:r w:rsidRPr="007E01A7">
        <w:t>Cục Thuế TP Hà Nội thông báo Công ty được biết và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D3CEE" w:rsidRPr="007E01A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D3CEE" w:rsidRPr="007E01A7" w:rsidRDefault="007E01A7">
            <w:pPr>
              <w:spacing w:before="120"/>
            </w:pPr>
            <w:r w:rsidRPr="007E01A7">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D3CEE" w:rsidRPr="007E01A7" w:rsidRDefault="007E01A7">
            <w:pPr>
              <w:spacing w:before="120"/>
              <w:jc w:val="center"/>
            </w:pPr>
            <w:r w:rsidRPr="007E01A7">
              <w:rPr>
                <w:b/>
                <w:bCs/>
              </w:rPr>
              <w:t>KT. CỤC TRƯỞNG</w:t>
            </w:r>
            <w:r w:rsidRPr="007E01A7">
              <w:rPr>
                <w:b/>
                <w:bCs/>
              </w:rPr>
              <w:br/>
              <w:t>PHÓ CỤC TRƯỞNG</w:t>
            </w:r>
            <w:r w:rsidRPr="007E01A7">
              <w:rPr>
                <w:b/>
                <w:bCs/>
              </w:rPr>
              <w:br/>
            </w:r>
            <w:r w:rsidRPr="007E01A7">
              <w:rPr>
                <w:b/>
                <w:bCs/>
              </w:rPr>
              <w:br/>
            </w:r>
            <w:r w:rsidRPr="007E01A7">
              <w:rPr>
                <w:b/>
                <w:bCs/>
              </w:rPr>
              <w:br/>
            </w:r>
            <w:r w:rsidRPr="007E01A7">
              <w:rPr>
                <w:b/>
                <w:bCs/>
              </w:rPr>
              <w:br/>
            </w:r>
            <w:r w:rsidRPr="007E01A7">
              <w:rPr>
                <w:b/>
                <w:bCs/>
              </w:rPr>
              <w:br/>
              <w:t>Nguyễn Tiến Trường</w:t>
            </w:r>
          </w:p>
        </w:tc>
      </w:tr>
    </w:tbl>
    <w:p w:rsidR="00DD3CEE" w:rsidRPr="007E01A7" w:rsidRDefault="007E01A7">
      <w:pPr>
        <w:spacing w:before="120" w:after="280" w:afterAutospacing="1"/>
      </w:pPr>
      <w:r w:rsidRPr="007E01A7">
        <w:t> </w:t>
      </w:r>
    </w:p>
    <w:p w:rsidR="007E01A7" w:rsidRPr="007E01A7" w:rsidRDefault="007E01A7">
      <w:pPr>
        <w:spacing w:before="120" w:after="280" w:afterAutospacing="1"/>
      </w:pPr>
    </w:p>
    <w:sectPr w:rsidR="007E01A7" w:rsidRPr="007E01A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68" w:rsidRDefault="00180668" w:rsidP="00180668">
      <w:r>
        <w:separator/>
      </w:r>
    </w:p>
  </w:endnote>
  <w:endnote w:type="continuationSeparator" w:id="0">
    <w:p w:rsidR="00180668" w:rsidRDefault="00180668" w:rsidP="0018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8" w:rsidRDefault="00180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8" w:rsidRDefault="00180668" w:rsidP="00180668">
    <w:pPr>
      <w:pStyle w:val="Footer"/>
    </w:pPr>
  </w:p>
  <w:p w:rsidR="00180668" w:rsidRPr="00180668" w:rsidRDefault="00180668" w:rsidP="00180668">
    <w:pPr>
      <w:pStyle w:val="Footer"/>
      <w:jc w:val="right"/>
    </w:pPr>
    <w:r>
      <w:rPr>
        <w:noProof/>
      </w:rPr>
      <w:drawing>
        <wp:inline distT="0" distB="0" distL="0" distR="0">
          <wp:extent cx="714475" cy="7144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4475" cy="714475"/>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8" w:rsidRDefault="00180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68" w:rsidRDefault="00180668" w:rsidP="00180668">
      <w:r>
        <w:separator/>
      </w:r>
    </w:p>
  </w:footnote>
  <w:footnote w:type="continuationSeparator" w:id="0">
    <w:p w:rsidR="00180668" w:rsidRDefault="00180668" w:rsidP="00180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8" w:rsidRDefault="00180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8" w:rsidRDefault="001806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68" w:rsidRDefault="00180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A7"/>
    <w:rsid w:val="00180668"/>
    <w:rsid w:val="007E01A7"/>
    <w:rsid w:val="00DD3C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668"/>
    <w:rPr>
      <w:color w:val="0000FF" w:themeColor="hyperlink"/>
      <w:u w:val="single"/>
    </w:rPr>
  </w:style>
  <w:style w:type="paragraph" w:styleId="Header">
    <w:name w:val="header"/>
    <w:basedOn w:val="Normal"/>
    <w:link w:val="HeaderChar"/>
    <w:uiPriority w:val="99"/>
    <w:unhideWhenUsed/>
    <w:rsid w:val="00180668"/>
    <w:pPr>
      <w:tabs>
        <w:tab w:val="center" w:pos="4680"/>
        <w:tab w:val="right" w:pos="9360"/>
      </w:tabs>
    </w:pPr>
  </w:style>
  <w:style w:type="character" w:customStyle="1" w:styleId="HeaderChar">
    <w:name w:val="Header Char"/>
    <w:basedOn w:val="DefaultParagraphFont"/>
    <w:link w:val="Header"/>
    <w:uiPriority w:val="99"/>
    <w:rsid w:val="00180668"/>
    <w:rPr>
      <w:sz w:val="24"/>
      <w:szCs w:val="24"/>
    </w:rPr>
  </w:style>
  <w:style w:type="paragraph" w:styleId="Footer">
    <w:name w:val="footer"/>
    <w:basedOn w:val="Normal"/>
    <w:link w:val="FooterChar"/>
    <w:uiPriority w:val="99"/>
    <w:unhideWhenUsed/>
    <w:rsid w:val="00180668"/>
    <w:pPr>
      <w:tabs>
        <w:tab w:val="center" w:pos="4680"/>
        <w:tab w:val="right" w:pos="9360"/>
      </w:tabs>
    </w:pPr>
  </w:style>
  <w:style w:type="character" w:customStyle="1" w:styleId="FooterChar">
    <w:name w:val="Footer Char"/>
    <w:basedOn w:val="DefaultParagraphFont"/>
    <w:link w:val="Footer"/>
    <w:uiPriority w:val="99"/>
    <w:rsid w:val="001806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668"/>
    <w:rPr>
      <w:color w:val="0000FF" w:themeColor="hyperlink"/>
      <w:u w:val="single"/>
    </w:rPr>
  </w:style>
  <w:style w:type="paragraph" w:styleId="Header">
    <w:name w:val="header"/>
    <w:basedOn w:val="Normal"/>
    <w:link w:val="HeaderChar"/>
    <w:uiPriority w:val="99"/>
    <w:unhideWhenUsed/>
    <w:rsid w:val="00180668"/>
    <w:pPr>
      <w:tabs>
        <w:tab w:val="center" w:pos="4680"/>
        <w:tab w:val="right" w:pos="9360"/>
      </w:tabs>
    </w:pPr>
  </w:style>
  <w:style w:type="character" w:customStyle="1" w:styleId="HeaderChar">
    <w:name w:val="Header Char"/>
    <w:basedOn w:val="DefaultParagraphFont"/>
    <w:link w:val="Header"/>
    <w:uiPriority w:val="99"/>
    <w:rsid w:val="00180668"/>
    <w:rPr>
      <w:sz w:val="24"/>
      <w:szCs w:val="24"/>
    </w:rPr>
  </w:style>
  <w:style w:type="paragraph" w:styleId="Footer">
    <w:name w:val="footer"/>
    <w:basedOn w:val="Normal"/>
    <w:link w:val="FooterChar"/>
    <w:uiPriority w:val="99"/>
    <w:unhideWhenUsed/>
    <w:rsid w:val="00180668"/>
    <w:pPr>
      <w:tabs>
        <w:tab w:val="center" w:pos="4680"/>
        <w:tab w:val="right" w:pos="9360"/>
      </w:tabs>
    </w:pPr>
  </w:style>
  <w:style w:type="character" w:customStyle="1" w:styleId="FooterChar">
    <w:name w:val="Footer Char"/>
    <w:basedOn w:val="DefaultParagraphFont"/>
    <w:link w:val="Footer"/>
    <w:uiPriority w:val="99"/>
    <w:rsid w:val="001806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uatvietnam.net/vbpl/56341/decree/209-2013-nd-cp.link" TargetMode="External"/><Relationship Id="rId13" Type="http://schemas.openxmlformats.org/officeDocument/2006/relationships/hyperlink" Target="https://luatvietnam.net/vbpl/57324/circular/219-2013-tt-btc.lin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uatvietnam.net/vbpl/57324/circular/219-2013-tt-btc.link" TargetMode="External"/><Relationship Id="rId12" Type="http://schemas.openxmlformats.org/officeDocument/2006/relationships/hyperlink" Target="https://luatvietnam.net/vbpl/60450/circular/78-2014-tt-btc.link"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vietnam.net/vbpl/57324/circular/219-2013-tt-btc.li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uatvietnam.net/vbpl/56563/decree/218-2013-nd-cp.lin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uatvietnam.net/vbpl/60450/circular/78-2014-tt-btc.link" TargetMode="External"/><Relationship Id="rId14" Type="http://schemas.openxmlformats.org/officeDocument/2006/relationships/hyperlink" Target="https://luatvietnam.net/vbpl/60450/circular/78-2014-tt-btc.lin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Administrator</cp:lastModifiedBy>
  <cp:revision>3</cp:revision>
  <cp:lastPrinted>1900-12-31T16:00:00Z</cp:lastPrinted>
  <dcterms:created xsi:type="dcterms:W3CDTF">2021-10-12T00:39:00Z</dcterms:created>
  <dcterms:modified xsi:type="dcterms:W3CDTF">2021-10-13T01:20:00Z</dcterms:modified>
</cp:coreProperties>
</file>