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77409" w:rsidRPr="0097740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B4504F" w:rsidP="005B2F8D">
            <w:pPr>
              <w:spacing w:before="120"/>
              <w:jc w:val="center"/>
            </w:pPr>
            <w:r w:rsidRPr="00977409">
              <w:rPr>
                <w:bCs/>
              </w:rPr>
              <w:t xml:space="preserve">BỘ </w:t>
            </w:r>
            <w:r w:rsidR="005B2F8D" w:rsidRPr="00977409">
              <w:rPr>
                <w:bCs/>
              </w:rPr>
              <w:t>TÀI CHÍNH</w:t>
            </w:r>
            <w:r w:rsidRPr="00977409">
              <w:rPr>
                <w:bCs/>
              </w:rPr>
              <w:br/>
            </w:r>
            <w:r w:rsidR="005B2F8D" w:rsidRPr="00977409">
              <w:rPr>
                <w:b/>
                <w:bCs/>
              </w:rPr>
              <w:t xml:space="preserve">TỔNG </w:t>
            </w:r>
            <w:r w:rsidRPr="00977409">
              <w:rPr>
                <w:b/>
                <w:bCs/>
              </w:rPr>
              <w:t xml:space="preserve">CỤC </w:t>
            </w:r>
            <w:r w:rsidR="005B2F8D" w:rsidRPr="00977409">
              <w:rPr>
                <w:b/>
                <w:bCs/>
              </w:rPr>
              <w:t>THUẾ</w:t>
            </w:r>
            <w:r w:rsidR="00525B4A" w:rsidRPr="00977409">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525B4A">
            <w:pPr>
              <w:spacing w:before="120"/>
              <w:jc w:val="center"/>
            </w:pPr>
            <w:r w:rsidRPr="00977409">
              <w:rPr>
                <w:b/>
                <w:bCs/>
                <w:lang w:val="vi-VN"/>
              </w:rPr>
              <w:t>CỘNG HÒA XÃ HỘI CHỦ NGHĨA VIỆT NAM</w:t>
            </w:r>
            <w:r w:rsidRPr="00977409">
              <w:rPr>
                <w:b/>
                <w:bCs/>
                <w:lang w:val="vi-VN"/>
              </w:rPr>
              <w:br/>
              <w:t xml:space="preserve">Độc lập - Tự do - Hạnh phúc </w:t>
            </w:r>
            <w:r w:rsidRPr="00977409">
              <w:rPr>
                <w:b/>
                <w:bCs/>
                <w:lang w:val="vi-VN"/>
              </w:rPr>
              <w:br/>
              <w:t>---------------</w:t>
            </w:r>
          </w:p>
        </w:tc>
      </w:tr>
      <w:tr w:rsidR="00977409" w:rsidRPr="0097740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525B4A" w:rsidP="005B2F8D">
            <w:pPr>
              <w:spacing w:before="120"/>
            </w:pPr>
            <w:r w:rsidRPr="00977409">
              <w:rPr>
                <w:lang w:val="vi-VN"/>
              </w:rPr>
              <w:t xml:space="preserve">Số: </w:t>
            </w:r>
            <w:r w:rsidR="005B2F8D" w:rsidRPr="00977409">
              <w:t>3489/TCT-CS</w:t>
            </w:r>
            <w:r w:rsidRPr="00977409">
              <w:br/>
            </w:r>
            <w:r w:rsidR="006F1088" w:rsidRPr="00977409">
              <w:rPr>
                <w:i/>
                <w:iCs/>
                <w:lang w:val="vi-VN"/>
              </w:rPr>
              <w:t xml:space="preserve">V/v </w:t>
            </w:r>
            <w:r w:rsidR="005B2F8D" w:rsidRPr="00977409">
              <w:rPr>
                <w:i/>
                <w:iCs/>
              </w:rPr>
              <w:t>chính sách thuế</w:t>
            </w:r>
            <w:r w:rsidRPr="00977409">
              <w:rPr>
                <w:lang w:val="vi-VN"/>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525B4A" w:rsidP="005B2F8D">
            <w:pPr>
              <w:spacing w:before="120"/>
              <w:jc w:val="right"/>
            </w:pPr>
            <w:r w:rsidRPr="00977409">
              <w:rPr>
                <w:i/>
                <w:iCs/>
                <w:lang w:val="vi-VN"/>
              </w:rPr>
              <w:t xml:space="preserve">Hà Nội, ngày </w:t>
            </w:r>
            <w:r w:rsidR="00B4504F" w:rsidRPr="00977409">
              <w:rPr>
                <w:i/>
                <w:iCs/>
              </w:rPr>
              <w:t>1</w:t>
            </w:r>
            <w:r w:rsidR="005B2F8D" w:rsidRPr="00977409">
              <w:rPr>
                <w:i/>
                <w:iCs/>
              </w:rPr>
              <w:t>4</w:t>
            </w:r>
            <w:r w:rsidRPr="00977409">
              <w:rPr>
                <w:i/>
                <w:iCs/>
                <w:lang w:val="vi-VN"/>
              </w:rPr>
              <w:t xml:space="preserve"> tháng </w:t>
            </w:r>
            <w:r w:rsidR="005B2F8D" w:rsidRPr="00977409">
              <w:rPr>
                <w:i/>
                <w:iCs/>
              </w:rPr>
              <w:t>9</w:t>
            </w:r>
            <w:r w:rsidRPr="00977409">
              <w:rPr>
                <w:i/>
                <w:iCs/>
                <w:lang w:val="vi-VN"/>
              </w:rPr>
              <w:t xml:space="preserve"> năm 20</w:t>
            </w:r>
            <w:r w:rsidRPr="00977409">
              <w:rPr>
                <w:i/>
                <w:iCs/>
              </w:rPr>
              <w:t>21</w:t>
            </w:r>
          </w:p>
        </w:tc>
      </w:tr>
    </w:tbl>
    <w:p w:rsidR="00C51147" w:rsidRPr="00977409" w:rsidRDefault="00525B4A">
      <w:pPr>
        <w:spacing w:before="120" w:after="280" w:afterAutospacing="1"/>
      </w:pPr>
      <w:r w:rsidRPr="00977409">
        <w:t> </w:t>
      </w:r>
    </w:p>
    <w:p w:rsidR="006F1088" w:rsidRPr="00977409" w:rsidRDefault="006F1088" w:rsidP="006F1088">
      <w:pPr>
        <w:spacing w:before="120" w:after="280" w:afterAutospacing="1"/>
        <w:jc w:val="center"/>
        <w:rPr>
          <w:i/>
        </w:rPr>
      </w:pPr>
      <w:r w:rsidRPr="00977409">
        <w:rPr>
          <w:b/>
        </w:rPr>
        <w:t>Kính gửi</w:t>
      </w:r>
      <w:r w:rsidRPr="00977409">
        <w:t xml:space="preserve">: </w:t>
      </w:r>
      <w:r w:rsidR="005B2F8D" w:rsidRPr="00977409">
        <w:t>Cục Thuế thành phố Hải Phòng</w:t>
      </w:r>
    </w:p>
    <w:p w:rsidR="00B4504F" w:rsidRPr="00977409" w:rsidRDefault="009339A3" w:rsidP="00977409">
      <w:pPr>
        <w:spacing w:before="240" w:after="240"/>
      </w:pPr>
      <w:r w:rsidRPr="00977409">
        <w:t xml:space="preserve">Tổng cục Thuế </w:t>
      </w:r>
      <w:r w:rsidRPr="00977409">
        <w:t xml:space="preserve">nhận được công văn số 1898/CTHPH-TTKT2 ngày 29/7/2021 của </w:t>
      </w:r>
      <w:r w:rsidRPr="00977409">
        <w:t>Cục Thuế thành phố Hải Phòng</w:t>
      </w:r>
      <w:r w:rsidRPr="00977409">
        <w:t xml:space="preserve"> về việc ưu đãi thuế TNDN. Về vấn đề này, </w:t>
      </w:r>
      <w:r w:rsidRPr="00977409">
        <w:t>Tổng cục Thuế</w:t>
      </w:r>
      <w:r w:rsidRPr="00977409">
        <w:t xml:space="preserve"> có ý kiến như sau:</w:t>
      </w:r>
    </w:p>
    <w:p w:rsidR="009339A3" w:rsidRPr="00977409" w:rsidRDefault="009339A3" w:rsidP="00977409">
      <w:pPr>
        <w:spacing w:before="240" w:after="240"/>
      </w:pPr>
      <w:r w:rsidRPr="00977409">
        <w:t xml:space="preserve">Tại khoản 2 Điều 10 </w:t>
      </w:r>
      <w:r w:rsidRPr="00977409">
        <w:rPr>
          <w:bCs/>
          <w:shd w:val="clear" w:color="auto" w:fill="FFFFFF"/>
        </w:rPr>
        <w:t>Thông tư số </w:t>
      </w:r>
      <w:r w:rsidRPr="00977409">
        <w:rPr>
          <w:bCs/>
        </w:rPr>
        <w:t>96/2015/TT-BTC</w:t>
      </w:r>
      <w:r w:rsidR="00977409" w:rsidRPr="00977409">
        <w:rPr>
          <w:bCs/>
        </w:rPr>
        <w:t xml:space="preserve"> </w:t>
      </w:r>
      <w:r w:rsidRPr="00977409">
        <w:rPr>
          <w:bCs/>
          <w:shd w:val="clear" w:color="auto" w:fill="FFFFFF"/>
        </w:rPr>
        <w:t>ngày 22/6/2015 của Bộ Tài chính hướng dẫn về thuế thu nhập doanh nghiệp tại Nghị định số </w:t>
      </w:r>
      <w:r w:rsidRPr="00977409">
        <w:rPr>
          <w:bCs/>
        </w:rPr>
        <w:t>12/2015/NĐ-CP</w:t>
      </w:r>
      <w:r w:rsidR="00977409" w:rsidRPr="00977409">
        <w:rPr>
          <w:bCs/>
        </w:rPr>
        <w:t xml:space="preserve"> </w:t>
      </w:r>
      <w:r w:rsidRPr="00977409">
        <w:rPr>
          <w:bCs/>
          <w:shd w:val="clear" w:color="auto" w:fill="FFFFFF"/>
        </w:rPr>
        <w:t>ngày 12/2/2015 của Chính phủ quy định chi tiết thi hành Luật sửa đổi, bổ sung một số điều của các Luật về thuế và sửa đổi, bổ sung một số điều của các Nghị định về thuế</w:t>
      </w:r>
      <w:r w:rsidRPr="00977409">
        <w:rPr>
          <w:bCs/>
          <w:shd w:val="clear" w:color="auto" w:fill="FFFFFF"/>
        </w:rPr>
        <w:t xml:space="preserve"> quy định:</w:t>
      </w:r>
    </w:p>
    <w:p w:rsidR="009339A3" w:rsidRPr="00977409" w:rsidRDefault="009339A3" w:rsidP="00977409">
      <w:pPr>
        <w:pStyle w:val="NormalWeb"/>
        <w:shd w:val="clear" w:color="auto" w:fill="FFFFFF"/>
        <w:spacing w:before="240" w:beforeAutospacing="0" w:after="240" w:afterAutospacing="0"/>
        <w:rPr>
          <w:i/>
        </w:rPr>
      </w:pPr>
      <w:r w:rsidRPr="00977409">
        <w:rPr>
          <w:i/>
        </w:rPr>
        <w:t>“</w:t>
      </w:r>
      <w:bookmarkStart w:id="0" w:name="khoan_1_10"/>
      <w:r w:rsidRPr="00977409">
        <w:rPr>
          <w:bCs/>
          <w:i/>
          <w:lang w:val="en-GB"/>
        </w:rPr>
        <w:t>1. Sửa đổi, bổ sung</w:t>
      </w:r>
      <w:bookmarkEnd w:id="0"/>
      <w:r w:rsidRPr="00977409">
        <w:rPr>
          <w:bCs/>
          <w:i/>
          <w:lang w:val="nl-NL"/>
        </w:rPr>
        <w:t> </w:t>
      </w:r>
      <w:bookmarkStart w:id="1" w:name="dc_21"/>
      <w:r w:rsidRPr="00977409">
        <w:rPr>
          <w:bCs/>
          <w:i/>
          <w:lang w:val="nl-NL"/>
        </w:rPr>
        <w:t>Khoản 3 Điều 18 Thông tư số 78/2014/TT-BTC</w:t>
      </w:r>
      <w:bookmarkEnd w:id="1"/>
      <w:r w:rsidRPr="00977409">
        <w:rPr>
          <w:bCs/>
          <w:i/>
          <w:lang w:val="nl-NL"/>
        </w:rPr>
        <w:t> </w:t>
      </w:r>
      <w:bookmarkStart w:id="2" w:name="khoan_1_10_name"/>
      <w:r w:rsidRPr="00977409">
        <w:rPr>
          <w:bCs/>
          <w:i/>
          <w:lang w:val="en-GB"/>
        </w:rPr>
        <w:t>như sau:</w:t>
      </w:r>
      <w:bookmarkEnd w:id="2"/>
    </w:p>
    <w:p w:rsidR="009339A3" w:rsidRPr="00977409" w:rsidRDefault="009339A3" w:rsidP="00977409">
      <w:pPr>
        <w:pStyle w:val="NormalWeb"/>
        <w:shd w:val="clear" w:color="auto" w:fill="FFFFFF"/>
        <w:spacing w:before="240" w:beforeAutospacing="0" w:after="240" w:afterAutospacing="0"/>
        <w:rPr>
          <w:i/>
        </w:rPr>
      </w:pPr>
      <w:r w:rsidRPr="00977409">
        <w:rPr>
          <w:b/>
          <w:bCs/>
          <w:i/>
          <w:lang w:val="nl-NL"/>
        </w:rPr>
        <w:t>“3.</w:t>
      </w:r>
      <w:r w:rsidRPr="00977409">
        <w:rPr>
          <w:i/>
          <w:lang w:val="nl-NL"/>
        </w:rPr>
        <w:t> Không áp dụng ưu đãi thuế thu nhập doanh nghiệp và không</w:t>
      </w:r>
      <w:r w:rsidRPr="00977409">
        <w:rPr>
          <w:b/>
          <w:bCs/>
          <w:i/>
          <w:lang w:val="nl-NL"/>
        </w:rPr>
        <w:t> </w:t>
      </w:r>
      <w:r w:rsidRPr="00977409">
        <w:rPr>
          <w:i/>
          <w:lang w:val="nl-NL"/>
        </w:rPr>
        <w:t>áp dụng thuế suất 20% (bao gồm cả doanh nghiệp thuộc diện áp dụng thuế suất 20% theo quy định tại </w:t>
      </w:r>
      <w:bookmarkStart w:id="3" w:name="dc_22"/>
      <w:r w:rsidRPr="00977409">
        <w:rPr>
          <w:i/>
          <w:lang w:val="nl-NL"/>
        </w:rPr>
        <w:t>Khoản 2 Điều 11 Thông tư số 78/2014/TT-BTC</w:t>
      </w:r>
      <w:bookmarkEnd w:id="3"/>
      <w:r w:rsidRPr="00977409">
        <w:rPr>
          <w:i/>
          <w:lang w:val="nl-NL"/>
        </w:rPr>
        <w:t>) đối với các khoản thu nhập sau:</w:t>
      </w:r>
    </w:p>
    <w:p w:rsidR="009339A3" w:rsidRPr="00977409" w:rsidRDefault="009339A3" w:rsidP="00977409">
      <w:pPr>
        <w:pStyle w:val="NormalWeb"/>
        <w:shd w:val="clear" w:color="auto" w:fill="FFFFFF"/>
        <w:spacing w:before="240" w:beforeAutospacing="0" w:after="240" w:afterAutospacing="0"/>
        <w:rPr>
          <w:i/>
        </w:rPr>
      </w:pPr>
      <w:r w:rsidRPr="00977409">
        <w:rPr>
          <w:i/>
          <w:lang w:val="nl-NL"/>
        </w:rPr>
        <w:t>a) Thu nhập từ chuyển nhượng vốn, chuyển nhượng quyền góp vốn; thu nhập từ chuyển nhượng bất động sản (trừ thu nhập từ đầu tư kinh doanh nhà ở xã hội quy định tại </w:t>
      </w:r>
      <w:bookmarkStart w:id="4" w:name="dc_23"/>
      <w:r w:rsidRPr="00977409">
        <w:rPr>
          <w:i/>
          <w:lang w:val="nl-NL"/>
        </w:rPr>
        <w:t>điểm d Khoản 3 Điều 19 Thông tư số 78/2014/TT-BTC</w:t>
      </w:r>
      <w:bookmarkEnd w:id="4"/>
      <w:r w:rsidRPr="00977409">
        <w:rPr>
          <w:i/>
          <w:lang w:val="nl-NL"/>
        </w:rPr>
        <w:t>);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sidR="009339A3" w:rsidRPr="00977409" w:rsidRDefault="009339A3" w:rsidP="00977409">
      <w:pPr>
        <w:pStyle w:val="NormalWeb"/>
        <w:shd w:val="clear" w:color="auto" w:fill="FFFFFF"/>
        <w:spacing w:before="240" w:beforeAutospacing="0" w:after="240" w:afterAutospacing="0"/>
        <w:rPr>
          <w:i/>
        </w:rPr>
      </w:pPr>
      <w:r w:rsidRPr="00977409">
        <w:rPr>
          <w:i/>
          <w:lang w:val="nl-NL"/>
        </w:rPr>
        <w:t>b) Thu nhập từ hoạt động tìm kiếm, thăm dò, khai thác dầu, khí, tài nguyên quý hiếm khác và thu nhập từ hoạt động khai thác khoáng sản.</w:t>
      </w:r>
    </w:p>
    <w:p w:rsidR="009339A3" w:rsidRPr="00977409" w:rsidRDefault="009339A3" w:rsidP="00977409">
      <w:pPr>
        <w:pStyle w:val="NormalWeb"/>
        <w:shd w:val="clear" w:color="auto" w:fill="FFFFFF"/>
        <w:spacing w:before="240" w:beforeAutospacing="0" w:after="240" w:afterAutospacing="0"/>
        <w:rPr>
          <w:i/>
        </w:rPr>
      </w:pPr>
      <w:r w:rsidRPr="00977409">
        <w:rPr>
          <w:i/>
          <w:lang w:val="nl-NL"/>
        </w:rPr>
        <w:t>c) Thu nhập từ kinh doanh dịch vụ thuộc diện chịu thuế tiêu thụ đặc biệt theo quy định của Luật Thuế tiêu thụ đặc biệt.”.</w:t>
      </w:r>
    </w:p>
    <w:p w:rsidR="009339A3" w:rsidRPr="00977409" w:rsidRDefault="009339A3" w:rsidP="00977409">
      <w:pPr>
        <w:pStyle w:val="NormalWeb"/>
        <w:shd w:val="clear" w:color="auto" w:fill="FFFFFF"/>
        <w:spacing w:before="240" w:beforeAutospacing="0" w:after="240" w:afterAutospacing="0"/>
        <w:rPr>
          <w:i/>
        </w:rPr>
      </w:pPr>
      <w:bookmarkStart w:id="5" w:name="khoan_2_10"/>
      <w:r w:rsidRPr="00977409">
        <w:rPr>
          <w:b/>
          <w:bCs/>
          <w:i/>
          <w:lang w:val="en-GB"/>
        </w:rPr>
        <w:t>2</w:t>
      </w:r>
      <w:r w:rsidRPr="00977409">
        <w:rPr>
          <w:bCs/>
          <w:i/>
          <w:lang w:val="en-GB"/>
        </w:rPr>
        <w:t>. Sửa đổi, bổ sung</w:t>
      </w:r>
      <w:bookmarkEnd w:id="5"/>
      <w:r w:rsidRPr="00977409">
        <w:rPr>
          <w:bCs/>
          <w:i/>
          <w:lang w:val="nl-NL"/>
        </w:rPr>
        <w:t> </w:t>
      </w:r>
      <w:bookmarkStart w:id="6" w:name="dc_24"/>
      <w:r w:rsidRPr="00977409">
        <w:rPr>
          <w:bCs/>
          <w:i/>
          <w:lang w:val="nl-NL"/>
        </w:rPr>
        <w:t>Khoản 4 Điều 18 Thông tư số 78/2014/TT-BTC</w:t>
      </w:r>
      <w:bookmarkEnd w:id="6"/>
      <w:r w:rsidRPr="00977409">
        <w:rPr>
          <w:bCs/>
          <w:i/>
          <w:lang w:val="nl-NL"/>
        </w:rPr>
        <w:t> </w:t>
      </w:r>
      <w:bookmarkStart w:id="7" w:name="khoan_2_10_name"/>
      <w:r w:rsidRPr="00977409">
        <w:rPr>
          <w:bCs/>
          <w:i/>
          <w:lang w:val="en-GB"/>
        </w:rPr>
        <w:t>như sau:</w:t>
      </w:r>
      <w:bookmarkEnd w:id="7"/>
    </w:p>
    <w:p w:rsidR="009339A3" w:rsidRPr="00977409" w:rsidRDefault="009339A3" w:rsidP="00977409">
      <w:pPr>
        <w:pStyle w:val="NormalWeb"/>
        <w:shd w:val="clear" w:color="auto" w:fill="FFFFFF"/>
        <w:spacing w:before="240" w:beforeAutospacing="0" w:after="240" w:afterAutospacing="0"/>
        <w:rPr>
          <w:i/>
        </w:rPr>
      </w:pPr>
      <w:r w:rsidRPr="00977409">
        <w:rPr>
          <w:b/>
          <w:bCs/>
          <w:i/>
          <w:lang w:val="nl-NL"/>
        </w:rPr>
        <w:t>“4.</w:t>
      </w:r>
      <w:r w:rsidRPr="00977409">
        <w:rPr>
          <w:i/>
          <w:lang w:val="nl-NL"/>
        </w:rPr>
        <w:t> Doanh nghiệp có dự án đầu tư </w:t>
      </w:r>
      <w:r w:rsidRPr="00977409">
        <w:rPr>
          <w:i/>
          <w:lang w:val="am-ET"/>
        </w:rPr>
        <w:t>được hưởng ưu đãi </w:t>
      </w:r>
      <w:r w:rsidRPr="00977409">
        <w:rPr>
          <w:i/>
          <w:lang w:val="nl-NL"/>
        </w:rPr>
        <w:t>thuế thu nhập doanh nghiệp </w:t>
      </w:r>
      <w:r w:rsidRPr="00977409">
        <w:rPr>
          <w:i/>
          <w:lang w:val="am-ET"/>
        </w:rPr>
        <w:t>do đáp ứng điều kiện về </w:t>
      </w:r>
      <w:r w:rsidRPr="00977409">
        <w:rPr>
          <w:i/>
          <w:lang w:val="nl-NL"/>
        </w:rPr>
        <w:t>lĩnh vực ưu đãi đầu tư, địa bàn ưu đãi đầu tư xác định ưu đãi như sau:</w:t>
      </w:r>
    </w:p>
    <w:p w:rsidR="009339A3" w:rsidRPr="00977409" w:rsidRDefault="009339A3" w:rsidP="00977409">
      <w:pPr>
        <w:spacing w:before="240" w:after="240"/>
        <w:rPr>
          <w:i/>
        </w:rPr>
      </w:pPr>
      <w:r w:rsidRPr="00977409">
        <w:rPr>
          <w:i/>
        </w:rPr>
        <w:t>…</w:t>
      </w:r>
    </w:p>
    <w:p w:rsidR="009339A3" w:rsidRPr="00977409" w:rsidRDefault="009339A3" w:rsidP="00977409">
      <w:pPr>
        <w:spacing w:before="240" w:after="240"/>
        <w:rPr>
          <w:i/>
        </w:rPr>
      </w:pPr>
      <w:r w:rsidRPr="00977409">
        <w:rPr>
          <w:i/>
          <w:shd w:val="clear" w:color="auto" w:fill="FFFFFF"/>
          <w:lang w:val="nl-NL"/>
        </w:rPr>
        <w:t>b) D</w:t>
      </w:r>
      <w:r w:rsidRPr="00977409">
        <w:rPr>
          <w:i/>
          <w:shd w:val="clear" w:color="auto" w:fill="FFFFFF"/>
          <w:lang w:val="am-ET"/>
        </w:rPr>
        <w:t>oanh nghiệp có dự án đầu tư được hưởng ưu đãi thuế thu nhập doanh nghiệp </w:t>
      </w:r>
      <w:r w:rsidRPr="00977409">
        <w:rPr>
          <w:i/>
          <w:shd w:val="clear" w:color="auto" w:fill="FFFFFF"/>
          <w:lang w:val="nl-NL"/>
        </w:rPr>
        <w:t>do </w:t>
      </w:r>
      <w:r w:rsidRPr="00977409">
        <w:rPr>
          <w:i/>
          <w:shd w:val="clear" w:color="auto" w:fill="FFFFFF"/>
          <w:lang w:val="am-ET"/>
        </w:rPr>
        <w:t>đáp ứng điều kiện ưu đãi </w:t>
      </w:r>
      <w:r w:rsidRPr="00977409">
        <w:rPr>
          <w:i/>
          <w:shd w:val="clear" w:color="auto" w:fill="FFFFFF"/>
          <w:lang w:val="nl-NL"/>
        </w:rPr>
        <w:t>về địa bàn (bao gồm cả khu công nghiệp, </w:t>
      </w:r>
      <w:r w:rsidRPr="00977409">
        <w:rPr>
          <w:i/>
          <w:shd w:val="clear" w:color="auto" w:fill="FFFFFF"/>
          <w:lang w:val="am-ET"/>
        </w:rPr>
        <w:t>khu kinh tế, khu công nghệ cao</w:t>
      </w:r>
      <w:r w:rsidRPr="00977409">
        <w:rPr>
          <w:i/>
          <w:shd w:val="clear" w:color="auto" w:fill="FFFFFF"/>
          <w:lang w:val="nl-NL"/>
        </w:rPr>
        <w:t>) thì thu nhập được hưởng ưu đãi thuế thu nhập doanh nghiệp là </w:t>
      </w:r>
      <w:r w:rsidRPr="00977409">
        <w:rPr>
          <w:i/>
          <w:shd w:val="clear" w:color="auto" w:fill="FFFFFF"/>
          <w:lang w:val="am-ET"/>
        </w:rPr>
        <w:t>toàn bộ thu nhập </w:t>
      </w:r>
      <w:r w:rsidRPr="00977409">
        <w:rPr>
          <w:i/>
          <w:shd w:val="clear" w:color="auto" w:fill="FFFFFF"/>
          <w:lang w:val="nl-NL"/>
        </w:rPr>
        <w:t>phát sinh </w:t>
      </w:r>
      <w:r w:rsidRPr="00977409">
        <w:rPr>
          <w:i/>
          <w:shd w:val="clear" w:color="auto" w:fill="FFFFFF"/>
          <w:lang w:val="am-ET"/>
        </w:rPr>
        <w:t xml:space="preserve">từ hoạt </w:t>
      </w:r>
      <w:r w:rsidRPr="00977409">
        <w:rPr>
          <w:i/>
          <w:shd w:val="clear" w:color="auto" w:fill="FFFFFF"/>
          <w:lang w:val="am-ET"/>
        </w:rPr>
        <w:lastRenderedPageBreak/>
        <w:t>động sản xuất kinh doanh </w:t>
      </w:r>
      <w:r w:rsidRPr="00977409">
        <w:rPr>
          <w:i/>
          <w:shd w:val="clear" w:color="auto" w:fill="FFFFFF"/>
          <w:lang w:val="nl-NL"/>
        </w:rPr>
        <w:t>trên địa bàn ưu đãi trừ các khoản thu nhập nêu tại điểm a, b, c Khoản 1 Điều này.</w:t>
      </w:r>
      <w:r w:rsidRPr="00977409">
        <w:rPr>
          <w:i/>
          <w:shd w:val="clear" w:color="auto" w:fill="FFFFFF"/>
          <w:lang w:val="nl-NL"/>
        </w:rPr>
        <w:t>”</w:t>
      </w:r>
    </w:p>
    <w:p w:rsidR="009339A3" w:rsidRPr="00977409" w:rsidRDefault="009339A3" w:rsidP="00977409">
      <w:pPr>
        <w:spacing w:before="240" w:after="240"/>
      </w:pPr>
      <w:r w:rsidRPr="00977409">
        <w:t>Căn cứ quy định nêu trên, về nguyên tắc doanh nghiệp có dự án đầu tư được hưởng ưu đãi thuế TNDN do đáp ứng điều kiện ưu đãi về địa bàn thì thu nhập được hưởng ưu đãi là thu nhập phát sinh từ hoạt động sản xuất kinh doanh của dự án đầu tư trên địa bàn ưu đãi trừ các khoản thu nhập không được hưởng ưu đãi theo quy định của Luật thuế TNDN. Các khoản thu nhập không thuộc thu nhập phát sinh trên địa bàn ưu đãi đầu tư, không thuộc thu nhập từ hoạt động sản xuất kinh doanh của dự án đầu tư thì không được hưởng ưu đãi thuế TNDN.</w:t>
      </w:r>
    </w:p>
    <w:p w:rsidR="009339A3" w:rsidRPr="00977409" w:rsidRDefault="009339A3" w:rsidP="00977409">
      <w:pPr>
        <w:spacing w:before="240" w:after="240"/>
      </w:pPr>
      <w:r w:rsidRPr="00977409">
        <w:t xml:space="preserve">Đề nghị </w:t>
      </w:r>
      <w:r w:rsidR="00977409" w:rsidRPr="00977409">
        <w:t>Cục Thuế thành phố Hải Phòng</w:t>
      </w:r>
      <w:r w:rsidR="00977409" w:rsidRPr="00977409">
        <w:t xml:space="preserve"> căn cứ quy định pháp luật, tình hình thực tế tại các doanh nghiệp để nghiên cứu, xác định bản chất các giao dịch/nghiệp vụ phát sinh (nhận tài sản và đưa tài sản vào sản xuất) từ đó xác định nghĩa vụ thuế đối với từng giao dịch, hướng dẫn doanh nghiệp thực hiện phù hợp với quy định của pháp luật.</w:t>
      </w:r>
    </w:p>
    <w:p w:rsidR="00B4504F" w:rsidRPr="00977409" w:rsidRDefault="00B4504F" w:rsidP="00B4504F">
      <w:pPr>
        <w:spacing w:before="240" w:after="240"/>
      </w:pPr>
      <w:bookmarkStart w:id="8" w:name="_GoBack"/>
      <w:bookmarkEnd w:id="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77409" w:rsidRPr="0097740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525B4A" w:rsidP="008176EA">
            <w:pPr>
              <w:spacing w:before="120"/>
            </w:pPr>
            <w:r w:rsidRPr="00977409">
              <w:t> </w:t>
            </w:r>
            <w:r w:rsidRPr="00977409">
              <w:rPr>
                <w:b/>
                <w:bCs/>
                <w:i/>
                <w:iCs/>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51147" w:rsidRPr="00977409" w:rsidRDefault="00977409" w:rsidP="00977409">
            <w:pPr>
              <w:spacing w:before="120"/>
              <w:jc w:val="center"/>
            </w:pPr>
            <w:r w:rsidRPr="00977409">
              <w:rPr>
                <w:b/>
                <w:bCs/>
              </w:rPr>
              <w:t xml:space="preserve">TL. TỔNG </w:t>
            </w:r>
            <w:r w:rsidR="00B4504F" w:rsidRPr="00977409">
              <w:rPr>
                <w:b/>
                <w:bCs/>
              </w:rPr>
              <w:t>CỤC TRƯỞNG</w:t>
            </w:r>
            <w:r w:rsidRPr="00977409">
              <w:rPr>
                <w:b/>
                <w:bCs/>
              </w:rPr>
              <w:br/>
              <w:t>KT. VỤ TRƯỞNG VỤ CHÍNH SÁCH</w:t>
            </w:r>
            <w:r w:rsidRPr="00977409">
              <w:rPr>
                <w:b/>
                <w:bCs/>
              </w:rPr>
              <w:br/>
              <w:t>PHÓ VỤ TRƯỞNG</w:t>
            </w:r>
            <w:r w:rsidR="00525B4A" w:rsidRPr="00977409">
              <w:rPr>
                <w:b/>
                <w:bCs/>
                <w:lang w:val="vi-VN"/>
              </w:rPr>
              <w:br/>
            </w:r>
            <w:r w:rsidR="00525B4A" w:rsidRPr="00977409">
              <w:rPr>
                <w:b/>
                <w:bCs/>
                <w:lang w:val="vi-VN"/>
              </w:rPr>
              <w:br/>
            </w:r>
            <w:r w:rsidR="00525B4A" w:rsidRPr="00977409">
              <w:rPr>
                <w:b/>
                <w:bCs/>
                <w:lang w:val="vi-VN"/>
              </w:rPr>
              <w:br/>
            </w:r>
            <w:r w:rsidR="00525B4A" w:rsidRPr="00977409">
              <w:rPr>
                <w:b/>
                <w:bCs/>
                <w:lang w:val="vi-VN"/>
              </w:rPr>
              <w:br/>
            </w:r>
            <w:r w:rsidR="00525B4A" w:rsidRPr="00977409">
              <w:rPr>
                <w:b/>
                <w:bCs/>
                <w:lang w:val="vi-VN"/>
              </w:rPr>
              <w:br/>
            </w:r>
            <w:r w:rsidRPr="00977409">
              <w:rPr>
                <w:b/>
                <w:bCs/>
              </w:rPr>
              <w:t>Mạnh Thị Tuyết Mai</w:t>
            </w:r>
          </w:p>
        </w:tc>
      </w:tr>
    </w:tbl>
    <w:p w:rsidR="00525B4A" w:rsidRPr="00977409" w:rsidRDefault="00525B4A">
      <w:pPr>
        <w:spacing w:after="280" w:afterAutospacing="1"/>
      </w:pPr>
      <w:r w:rsidRPr="00977409">
        <w:rPr>
          <w:b/>
          <w:bCs/>
        </w:rPr>
        <w:t> </w:t>
      </w:r>
    </w:p>
    <w:sectPr w:rsidR="00525B4A" w:rsidRPr="009774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72223"/>
    <w:multiLevelType w:val="hybridMultilevel"/>
    <w:tmpl w:val="137C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54332"/>
    <w:multiLevelType w:val="hybridMultilevel"/>
    <w:tmpl w:val="35EE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EA"/>
    <w:rsid w:val="00411031"/>
    <w:rsid w:val="00494E94"/>
    <w:rsid w:val="00525B4A"/>
    <w:rsid w:val="005B2F8D"/>
    <w:rsid w:val="00651ABE"/>
    <w:rsid w:val="006F1088"/>
    <w:rsid w:val="008176EA"/>
    <w:rsid w:val="00914613"/>
    <w:rsid w:val="009339A3"/>
    <w:rsid w:val="00977409"/>
    <w:rsid w:val="009D0D1F"/>
    <w:rsid w:val="00A35E78"/>
    <w:rsid w:val="00AB5109"/>
    <w:rsid w:val="00B4504F"/>
    <w:rsid w:val="00C51147"/>
    <w:rsid w:val="00E02109"/>
    <w:rsid w:val="00EA62F8"/>
    <w:rsid w:val="00F50E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AD96"/>
  <w15:chartTrackingRefBased/>
  <w15:docId w15:val="{96723A98-C553-4FC5-A1AC-876160F7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088"/>
    <w:rPr>
      <w:color w:val="0563C1" w:themeColor="hyperlink"/>
      <w:u w:val="single"/>
    </w:rPr>
  </w:style>
  <w:style w:type="paragraph" w:styleId="ListParagraph">
    <w:name w:val="List Paragraph"/>
    <w:basedOn w:val="Normal"/>
    <w:uiPriority w:val="99"/>
    <w:qFormat/>
    <w:rsid w:val="006F1088"/>
    <w:pPr>
      <w:ind w:left="720"/>
      <w:contextualSpacing/>
    </w:pPr>
  </w:style>
  <w:style w:type="paragraph" w:styleId="NormalWeb">
    <w:name w:val="Normal (Web)"/>
    <w:basedOn w:val="Normal"/>
    <w:uiPriority w:val="99"/>
    <w:semiHidden/>
    <w:unhideWhenUsed/>
    <w:rsid w:val="006F10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9003">
      <w:bodyDiv w:val="1"/>
      <w:marLeft w:val="0"/>
      <w:marRight w:val="0"/>
      <w:marTop w:val="0"/>
      <w:marBottom w:val="0"/>
      <w:divBdr>
        <w:top w:val="none" w:sz="0" w:space="0" w:color="auto"/>
        <w:left w:val="none" w:sz="0" w:space="0" w:color="auto"/>
        <w:bottom w:val="none" w:sz="0" w:space="0" w:color="auto"/>
        <w:right w:val="none" w:sz="0" w:space="0" w:color="auto"/>
      </w:divBdr>
    </w:div>
    <w:div w:id="1109157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4</cp:revision>
  <cp:lastPrinted>1899-12-31T17:00:00Z</cp:lastPrinted>
  <dcterms:created xsi:type="dcterms:W3CDTF">2021-11-12T01:07:00Z</dcterms:created>
  <dcterms:modified xsi:type="dcterms:W3CDTF">2021-11-12T01:23:00Z</dcterms:modified>
</cp:coreProperties>
</file>